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9F" w:rsidRPr="00D30F60" w:rsidRDefault="00180559" w:rsidP="0062363C">
      <w:pPr>
        <w:jc w:val="both"/>
        <w:rPr>
          <w:b/>
        </w:rPr>
      </w:pPr>
      <w:r>
        <w:rPr>
          <w:b/>
        </w:rPr>
        <w:t xml:space="preserve"> SEGUIMIENTO AL </w:t>
      </w:r>
      <w:r w:rsidR="00110244" w:rsidRPr="00D30F60">
        <w:rPr>
          <w:b/>
        </w:rPr>
        <w:t>PLAN ANTICORRUPCION Y DE ATENCION AL CIUDADANO 2017 IDEAM</w:t>
      </w:r>
    </w:p>
    <w:p w:rsidR="00110244" w:rsidRPr="00C62749" w:rsidRDefault="00180559" w:rsidP="0062363C">
      <w:pPr>
        <w:jc w:val="both"/>
        <w:rPr>
          <w:b/>
        </w:rPr>
      </w:pPr>
      <w:r w:rsidRPr="00C62749">
        <w:rPr>
          <w:b/>
        </w:rPr>
        <w:t xml:space="preserve">                                        </w:t>
      </w:r>
      <w:r w:rsidR="00C62749">
        <w:rPr>
          <w:b/>
        </w:rPr>
        <w:t xml:space="preserve">          </w:t>
      </w:r>
      <w:r w:rsidRPr="00C62749">
        <w:rPr>
          <w:b/>
        </w:rPr>
        <w:t xml:space="preserve">     ABRIL 30 DE 2017</w:t>
      </w:r>
    </w:p>
    <w:p w:rsidR="00110244" w:rsidRPr="00D30F60" w:rsidRDefault="00F60A90" w:rsidP="0062363C">
      <w:pPr>
        <w:jc w:val="both"/>
        <w:rPr>
          <w:b/>
        </w:rPr>
      </w:pPr>
      <w:r w:rsidRPr="00D30F60">
        <w:rPr>
          <w:b/>
        </w:rPr>
        <w:t>PRESENTACION</w:t>
      </w:r>
    </w:p>
    <w:p w:rsidR="00F60A90" w:rsidRDefault="00F60A90" w:rsidP="0062363C">
      <w:pPr>
        <w:jc w:val="both"/>
      </w:pPr>
    </w:p>
    <w:p w:rsidR="000D567D" w:rsidRDefault="00F60A90" w:rsidP="0062363C">
      <w:pPr>
        <w:jc w:val="both"/>
      </w:pPr>
      <w:r>
        <w:t>Con el propósito de dar cumplimiento a lo establecido en la ley 1474 de 2011, Por la cual se dictan normas orientadas a fortalecer los mecanismos de prevención, investigación y sanción, de actos de corrupción y la efectividad del control de la gestión Pública o Estatuto Anticorrupción</w:t>
      </w:r>
      <w:r w:rsidR="009C4C0E">
        <w:t>;</w:t>
      </w:r>
      <w:r>
        <w:t xml:space="preserve"> el cual establece que cada entidad del</w:t>
      </w:r>
      <w:r w:rsidR="00B81DE8">
        <w:t xml:space="preserve"> orden Nacional, Departamental y  </w:t>
      </w:r>
      <w:r>
        <w:t xml:space="preserve"> Municipal</w:t>
      </w:r>
      <w:r w:rsidR="00B81DE8">
        <w:t xml:space="preserve"> deberá elaborar anualmente una estrategia de lucha contra la corrupción y de atención al ciudadano, que contemplará, entre otras cosas, el mapa de riesgos de corrupción de la respectiva Entidad, las medidas concretas para mitigar esos riesgos, las estrategias </w:t>
      </w:r>
      <w:r w:rsidR="00373F31">
        <w:t>anti trámites</w:t>
      </w:r>
      <w:r w:rsidR="00B81DE8">
        <w:t xml:space="preserve"> y los mecanismos para mejorar la atención al ciudadano; en concordancia con lo establecido en el decreto 124 del 26 de Enero de 2016 </w:t>
      </w:r>
      <w:r w:rsidR="00C62749">
        <w:t>“</w:t>
      </w:r>
      <w:r w:rsidR="00B81DE8">
        <w:t>Por el cual</w:t>
      </w:r>
      <w:r w:rsidR="00373F31">
        <w:t xml:space="preserve"> se sustituye  el titulo 4 de la parte 1 del libro 2 del Decreto 1081 de 2015, relativo al Plan Anticorrupción y Atención al ciudadano</w:t>
      </w:r>
      <w:r w:rsidR="00C62749">
        <w:t>”</w:t>
      </w:r>
      <w:r w:rsidR="00D67516">
        <w:t xml:space="preserve"> y aten</w:t>
      </w:r>
      <w:r w:rsidR="00C41ABE">
        <w:t>diendo las recomendaciones del D</w:t>
      </w:r>
      <w:r w:rsidR="00D67516">
        <w:t xml:space="preserve">epartamento </w:t>
      </w:r>
      <w:r w:rsidR="00C41ABE">
        <w:t>A</w:t>
      </w:r>
      <w:r w:rsidR="00D67516">
        <w:t>dministrativo de</w:t>
      </w:r>
      <w:r w:rsidR="00C41ABE">
        <w:t xml:space="preserve"> </w:t>
      </w:r>
      <w:r w:rsidR="00D67516">
        <w:t>l</w:t>
      </w:r>
      <w:r w:rsidR="00C41ABE">
        <w:t xml:space="preserve">a </w:t>
      </w:r>
      <w:r w:rsidR="00D67516">
        <w:t xml:space="preserve"> función Pública</w:t>
      </w:r>
      <w:r w:rsidR="00C41ABE">
        <w:t xml:space="preserve"> DAFP en circular Externa No, 100-02-2016 de Enero 27 de 2016; herramienta que incluye parte de la política de transparencia, participación y servicio al ciudadano del modelo integrado de gestión y planeación, articulando el quehacer de las Entidades, mediante los lineamientos de las  políticas de desarrollo administrativo</w:t>
      </w:r>
      <w:r w:rsidR="000D567D">
        <w:t xml:space="preserve"> y el monitoreo y evaluación  de los avances en gestión Institucional y sectorial. </w:t>
      </w:r>
    </w:p>
    <w:p w:rsidR="00F83FD2" w:rsidRDefault="00F83FD2" w:rsidP="0062363C">
      <w:pPr>
        <w:jc w:val="both"/>
      </w:pPr>
    </w:p>
    <w:p w:rsidR="00F83FD2" w:rsidRPr="00D30F60" w:rsidRDefault="00F83FD2" w:rsidP="00F83FD2">
      <w:pPr>
        <w:jc w:val="both"/>
        <w:rPr>
          <w:b/>
        </w:rPr>
      </w:pPr>
      <w:r w:rsidRPr="00D30F60">
        <w:rPr>
          <w:b/>
        </w:rPr>
        <w:t xml:space="preserve">OJETIVO Y ALCANCE </w:t>
      </w:r>
    </w:p>
    <w:p w:rsidR="00F83FD2" w:rsidRDefault="00F83FD2" w:rsidP="00F83FD2">
      <w:pPr>
        <w:jc w:val="both"/>
      </w:pPr>
      <w:r>
        <w:t>Establecer el cumplimiento de parte de</w:t>
      </w:r>
      <w:r w:rsidR="002C217F">
        <w:t>l</w:t>
      </w:r>
      <w:r>
        <w:t xml:space="preserve"> Instituto de Hidrología Meteorología y Estudios ambientales IDEAM a los lineamientos definidos por el Gobierno Nacional en las Estrategias del Plan Anticorrupción y de Atención al Ciudadano, tanto en lo correspondiente a su elaboración, como en la publicación y socialización y avance del mismo con corte al 30 de Abril de 2017.   </w:t>
      </w:r>
    </w:p>
    <w:p w:rsidR="00F83FD2" w:rsidRDefault="00F83FD2" w:rsidP="0062363C">
      <w:pPr>
        <w:jc w:val="both"/>
      </w:pPr>
    </w:p>
    <w:p w:rsidR="00F83FD2" w:rsidRPr="00D30F60" w:rsidRDefault="00F83FD2" w:rsidP="0062363C">
      <w:pPr>
        <w:jc w:val="both"/>
        <w:rPr>
          <w:b/>
        </w:rPr>
      </w:pPr>
      <w:r w:rsidRPr="00D30F60">
        <w:rPr>
          <w:b/>
        </w:rPr>
        <w:t>COMPONENTES DEL PLAN ANTICORRUPCION Y ATENCION AL CIUDADANO</w:t>
      </w:r>
    </w:p>
    <w:p w:rsidR="00330CD2" w:rsidRDefault="000D567D" w:rsidP="0062363C">
      <w:pPr>
        <w:jc w:val="both"/>
      </w:pPr>
      <w:r>
        <w:t>Es importante  anotar que la herramienta  Estrategias para la construcción del Plan Anticorrupción y  de atención al ciudadano es un instrumento de tipo preventivo para el control de la gestión, su metodología</w:t>
      </w:r>
      <w:r w:rsidR="00F83FD2">
        <w:t>,</w:t>
      </w:r>
      <w:r>
        <w:t xml:space="preserve"> incluye cinco componentes autónomos e independientes, que contienen parámetros y su respectivo soporte normativo. </w:t>
      </w:r>
      <w:r w:rsidRPr="00E3484A">
        <w:rPr>
          <w:color w:val="C00000"/>
        </w:rPr>
        <w:t xml:space="preserve">El primero </w:t>
      </w:r>
      <w:r>
        <w:t>de ellos hace referencia a</w:t>
      </w:r>
      <w:r w:rsidR="00E3484A">
        <w:t xml:space="preserve"> </w:t>
      </w:r>
      <w:r w:rsidR="00B10A91" w:rsidRPr="00B10A91">
        <w:rPr>
          <w:b/>
        </w:rPr>
        <w:t>GESTIÓN DE RIESGOS  Y EL MAPA DE RIESGOS DE CORRUPCIÓN</w:t>
      </w:r>
      <w:r>
        <w:t>,</w:t>
      </w:r>
      <w:r w:rsidR="00330CD2">
        <w:t xml:space="preserve"> y cuyo </w:t>
      </w:r>
      <w:r w:rsidR="00ED241C">
        <w:t>OBJETIVO</w:t>
      </w:r>
      <w:r w:rsidR="00330CD2">
        <w:t xml:space="preserve"> es: Administrar la política de la gestión del riesgo mediante la identificación, evaluación, valoración, análisis y control de los posibles riesgos de corrupción, para prevenir su ocurrencia o minimizar el impacto en caso de materialización. </w:t>
      </w:r>
      <w:r w:rsidR="00F83FD2">
        <w:t xml:space="preserve"> El mapa de riesgos es una herramienta que le permite </w:t>
      </w:r>
      <w:r w:rsidR="00600F28">
        <w:t>a</w:t>
      </w:r>
      <w:r w:rsidR="00F83FD2">
        <w:t xml:space="preserve">l Instituto identificar, </w:t>
      </w:r>
      <w:r w:rsidR="00F83FD2">
        <w:lastRenderedPageBreak/>
        <w:t xml:space="preserve">analizar y controlar los posibles hechos generadores de corrupción tanto internos como externos. </w:t>
      </w:r>
      <w:r w:rsidR="00330CD2">
        <w:t xml:space="preserve">Los mapas de riesgos  son susceptibles de actualización cuando los líderes de los procesos lo requieran o alguna situación lo amerite. </w:t>
      </w:r>
    </w:p>
    <w:p w:rsidR="00E70163" w:rsidRDefault="00E70163" w:rsidP="0062363C">
      <w:pPr>
        <w:jc w:val="both"/>
      </w:pPr>
      <w:r>
        <w:t xml:space="preserve"> </w:t>
      </w:r>
      <w:r w:rsidR="00330CD2">
        <w:t xml:space="preserve"> Aquí  </w:t>
      </w:r>
      <w:r>
        <w:t xml:space="preserve">encontramos cuatro subcomponentes </w:t>
      </w:r>
      <w:r w:rsidR="00F83FD2">
        <w:t>así</w:t>
      </w:r>
      <w:r>
        <w:t>:</w:t>
      </w:r>
    </w:p>
    <w:p w:rsidR="00600F28" w:rsidRDefault="00600F28" w:rsidP="0062363C">
      <w:pPr>
        <w:jc w:val="both"/>
      </w:pPr>
    </w:p>
    <w:p w:rsidR="003456AD" w:rsidRDefault="0095344E" w:rsidP="0062363C">
      <w:pPr>
        <w:jc w:val="both"/>
        <w:rPr>
          <w:rFonts w:ascii="Calibri" w:eastAsia="Times New Roman" w:hAnsi="Calibri" w:cs="Calibri"/>
          <w:b/>
          <w:bCs/>
          <w:color w:val="000000"/>
          <w:sz w:val="20"/>
          <w:szCs w:val="20"/>
          <w:lang w:eastAsia="es-CO"/>
        </w:rPr>
      </w:pPr>
      <w:r w:rsidRPr="0095344E">
        <w:rPr>
          <w:rFonts w:ascii="Calibri" w:eastAsia="Times New Roman" w:hAnsi="Calibri" w:cs="Calibri"/>
          <w:b/>
          <w:bCs/>
          <w:color w:val="000000"/>
          <w:sz w:val="20"/>
          <w:szCs w:val="20"/>
          <w:lang w:eastAsia="es-CO"/>
        </w:rPr>
        <w:t xml:space="preserve">Subcomponente /proceso 1                                      </w:t>
      </w:r>
    </w:p>
    <w:p w:rsidR="00E70163" w:rsidRDefault="003456AD" w:rsidP="0062363C">
      <w:pPr>
        <w:jc w:val="both"/>
      </w:pPr>
      <w:r>
        <w:t>P</w:t>
      </w:r>
      <w:r w:rsidR="00E70163">
        <w:t>olítica de Administración de Riesgos de Corrupción cuya actividad principal es la de divulgar la política aprobada usando medios electrónicos</w:t>
      </w:r>
    </w:p>
    <w:p w:rsidR="003456AD" w:rsidRDefault="003456AD" w:rsidP="0062363C">
      <w:pPr>
        <w:jc w:val="both"/>
      </w:pPr>
    </w:p>
    <w:p w:rsidR="003456AD" w:rsidRPr="003456AD" w:rsidRDefault="003456AD" w:rsidP="0062363C">
      <w:pPr>
        <w:jc w:val="both"/>
        <w:rPr>
          <w:rFonts w:ascii="Calibri" w:eastAsia="Times New Roman" w:hAnsi="Calibri" w:cs="Calibri"/>
          <w:color w:val="000000"/>
          <w:sz w:val="20"/>
          <w:szCs w:val="20"/>
          <w:lang w:eastAsia="es-CO"/>
        </w:rPr>
      </w:pPr>
      <w:r w:rsidRPr="003456AD">
        <w:rPr>
          <w:rFonts w:ascii="Calibri" w:eastAsia="Times New Roman" w:hAnsi="Calibri" w:cs="Calibri"/>
          <w:b/>
          <w:bCs/>
          <w:color w:val="000000"/>
          <w:sz w:val="20"/>
          <w:szCs w:val="20"/>
          <w:lang w:eastAsia="es-CO"/>
        </w:rPr>
        <w:t xml:space="preserve">Subcomponente/proceso  2                                                             </w:t>
      </w:r>
    </w:p>
    <w:p w:rsidR="00E70163" w:rsidRDefault="00E70163" w:rsidP="0062363C">
      <w:pPr>
        <w:jc w:val="both"/>
      </w:pPr>
      <w:r>
        <w:t>Construcción del Mapa de Riesgos de Corrupción, cuya actividad principal es la de publicar el Mapa de Riesgos de Corrupción</w:t>
      </w:r>
    </w:p>
    <w:p w:rsidR="00600F28" w:rsidRDefault="00600F28" w:rsidP="0062363C">
      <w:pPr>
        <w:jc w:val="both"/>
      </w:pPr>
    </w:p>
    <w:p w:rsidR="003456AD" w:rsidRDefault="003456AD" w:rsidP="0062363C">
      <w:pPr>
        <w:jc w:val="both"/>
        <w:rPr>
          <w:rFonts w:ascii="Calibri" w:eastAsia="Times New Roman" w:hAnsi="Calibri" w:cs="Calibri"/>
          <w:color w:val="000000"/>
          <w:sz w:val="20"/>
          <w:szCs w:val="20"/>
          <w:lang w:eastAsia="es-CO"/>
        </w:rPr>
      </w:pPr>
      <w:r w:rsidRPr="003456AD">
        <w:rPr>
          <w:rFonts w:ascii="Calibri" w:eastAsia="Times New Roman" w:hAnsi="Calibri" w:cs="Calibri"/>
          <w:b/>
          <w:bCs/>
          <w:color w:val="000000"/>
          <w:sz w:val="20"/>
          <w:szCs w:val="20"/>
          <w:lang w:eastAsia="es-CO"/>
        </w:rPr>
        <w:t xml:space="preserve">Subcomponente /proceso 3                                           </w:t>
      </w:r>
      <w:r w:rsidRPr="003456AD">
        <w:rPr>
          <w:rFonts w:ascii="Calibri" w:eastAsia="Times New Roman" w:hAnsi="Calibri" w:cs="Calibri"/>
          <w:color w:val="000000"/>
          <w:sz w:val="20"/>
          <w:szCs w:val="20"/>
          <w:lang w:eastAsia="es-CO"/>
        </w:rPr>
        <w:t xml:space="preserve"> </w:t>
      </w:r>
    </w:p>
    <w:p w:rsidR="00E70163" w:rsidRDefault="00E70163" w:rsidP="0062363C">
      <w:pPr>
        <w:jc w:val="both"/>
      </w:pPr>
      <w:r>
        <w:t>Consulta y divulgación Cuya actividad principal es la de Divulgación del Plan anticorrupción y de atención al ciudadano y mapa de riesgos de corrupción</w:t>
      </w:r>
    </w:p>
    <w:p w:rsidR="00600F28" w:rsidRDefault="00600F28" w:rsidP="0062363C">
      <w:pPr>
        <w:jc w:val="both"/>
      </w:pPr>
    </w:p>
    <w:p w:rsidR="003456AD" w:rsidRDefault="003456AD" w:rsidP="0062363C">
      <w:pPr>
        <w:jc w:val="both"/>
        <w:rPr>
          <w:rFonts w:ascii="Calibri" w:eastAsia="Times New Roman" w:hAnsi="Calibri" w:cs="Calibri"/>
          <w:color w:val="000000"/>
          <w:sz w:val="20"/>
          <w:szCs w:val="20"/>
          <w:lang w:eastAsia="es-CO"/>
        </w:rPr>
      </w:pPr>
      <w:r w:rsidRPr="003456AD">
        <w:rPr>
          <w:rFonts w:ascii="Calibri" w:eastAsia="Times New Roman" w:hAnsi="Calibri" w:cs="Calibri"/>
          <w:b/>
          <w:bCs/>
          <w:color w:val="000000"/>
          <w:sz w:val="20"/>
          <w:szCs w:val="20"/>
          <w:lang w:eastAsia="es-CO"/>
        </w:rPr>
        <w:t>Subcomponente /proceso 4</w:t>
      </w:r>
      <w:r w:rsidRPr="003456AD">
        <w:rPr>
          <w:rFonts w:ascii="Calibri" w:eastAsia="Times New Roman" w:hAnsi="Calibri" w:cs="Calibri"/>
          <w:color w:val="000000"/>
          <w:sz w:val="20"/>
          <w:szCs w:val="20"/>
          <w:lang w:eastAsia="es-CO"/>
        </w:rPr>
        <w:t xml:space="preserve">                                           </w:t>
      </w:r>
    </w:p>
    <w:p w:rsidR="00E70163" w:rsidRDefault="00E70163" w:rsidP="0062363C">
      <w:pPr>
        <w:jc w:val="both"/>
      </w:pPr>
      <w:r>
        <w:t>Monitoreo o Revisión cuya actividad principal es la de Monitorear el Plan.</w:t>
      </w:r>
    </w:p>
    <w:p w:rsidR="00600F28" w:rsidRDefault="00600F28" w:rsidP="0062363C">
      <w:pPr>
        <w:jc w:val="both"/>
      </w:pPr>
    </w:p>
    <w:p w:rsidR="003456AD" w:rsidRDefault="003456AD" w:rsidP="0062363C">
      <w:pPr>
        <w:jc w:val="both"/>
      </w:pPr>
      <w:r w:rsidRPr="003456AD">
        <w:rPr>
          <w:rFonts w:ascii="Calibri" w:eastAsia="Times New Roman" w:hAnsi="Calibri" w:cs="Calibri"/>
          <w:b/>
          <w:bCs/>
          <w:color w:val="000000"/>
          <w:sz w:val="20"/>
          <w:szCs w:val="20"/>
          <w:lang w:eastAsia="es-CO"/>
        </w:rPr>
        <w:t>Subcomponente/proceso 5</w:t>
      </w:r>
      <w:r w:rsidRPr="003456AD">
        <w:rPr>
          <w:rFonts w:ascii="Calibri" w:eastAsia="Times New Roman" w:hAnsi="Calibri" w:cs="Calibri"/>
          <w:color w:val="000000"/>
          <w:sz w:val="20"/>
          <w:szCs w:val="20"/>
          <w:lang w:eastAsia="es-CO"/>
        </w:rPr>
        <w:t xml:space="preserve"> </w:t>
      </w:r>
    </w:p>
    <w:p w:rsidR="00E70163" w:rsidRDefault="00E70163" w:rsidP="0062363C">
      <w:pPr>
        <w:jc w:val="both"/>
      </w:pPr>
      <w:r>
        <w:t xml:space="preserve">Seguimiento </w:t>
      </w:r>
      <w:r w:rsidR="003456AD">
        <w:t xml:space="preserve">actividad: </w:t>
      </w:r>
      <w:r>
        <w:t>seguimiento al Plan Anticorrupción y de Atención al Ciudadano.</w:t>
      </w:r>
    </w:p>
    <w:p w:rsidR="006C41F4" w:rsidRDefault="000D567D" w:rsidP="006C41F4">
      <w:r>
        <w:t>Para los demás componentes se debe</w:t>
      </w:r>
      <w:r w:rsidR="00DD6942">
        <w:t xml:space="preserve">n </w:t>
      </w:r>
      <w:r>
        <w:t xml:space="preserve"> tener en cuenta</w:t>
      </w:r>
      <w:r w:rsidR="00DD6942">
        <w:t xml:space="preserve"> los lineamientos dados por las normas y entidades rectoras de las diferentes </w:t>
      </w:r>
      <w:r w:rsidR="00600F28">
        <w:t xml:space="preserve">políticas. </w:t>
      </w:r>
      <w:r w:rsidR="00DD6942">
        <w:t xml:space="preserve">El diseño de la metodología para la elaboración del mapa de riesgos de corrupción y las medidas para mitigarlos desarrollada en el primer componente, tomó como punto de partida los lineamientos impartidos por el Modelo </w:t>
      </w:r>
      <w:r w:rsidR="00FC13BB">
        <w:t>Estándar de</w:t>
      </w:r>
      <w:r w:rsidR="00DD6942">
        <w:t xml:space="preserve"> Control Interno -MECI- contenidos en la Metodología de Administración de Riesgos del Departamento Administrativo de la Función Pública. </w:t>
      </w:r>
      <w:r w:rsidR="00FC13BB">
        <w:t xml:space="preserve"> </w:t>
      </w:r>
      <w:r w:rsidR="00DD6942" w:rsidRPr="00E70163">
        <w:rPr>
          <w:color w:val="C00000"/>
        </w:rPr>
        <w:t xml:space="preserve">En el segundo </w:t>
      </w:r>
      <w:r w:rsidR="00DD6942">
        <w:t>componente,</w:t>
      </w:r>
      <w:r w:rsidR="00B10A91">
        <w:t xml:space="preserve"> </w:t>
      </w:r>
      <w:r w:rsidR="00B10A91" w:rsidRPr="00B10A91">
        <w:rPr>
          <w:b/>
        </w:rPr>
        <w:t>ESTRATEGIA ANTITRAMITES</w:t>
      </w:r>
      <w:r w:rsidR="00B10A91">
        <w:t xml:space="preserve"> </w:t>
      </w:r>
      <w:r w:rsidR="00DD6942">
        <w:t xml:space="preserve"> se explican los parámetros generales para la racionalización de trámites en las entidades públicas, establecido por la ley como “Todo requisito, para que sea exigible al</w:t>
      </w:r>
      <w:r w:rsidR="00FC13BB">
        <w:t xml:space="preserve"> </w:t>
      </w:r>
      <w:r w:rsidR="00DD6942">
        <w:t xml:space="preserve">administrado” y deberá encontrarse inscrito en el Sistema Único de Información de Trámites - </w:t>
      </w:r>
      <w:r w:rsidR="00DD6942">
        <w:lastRenderedPageBreak/>
        <w:t>SUIT, política que viene siendo liderada por el Departamento Administrativo de la Función Pública, a través</w:t>
      </w:r>
      <w:r w:rsidR="00FC13BB">
        <w:t xml:space="preserve"> </w:t>
      </w:r>
      <w:r w:rsidR="00DD6942">
        <w:t>de la Dirección de Control Interno y Racionalización de Trámites y las Altas Consejerías para el Buen Gobierno y la Eficiencia Administrativa  para la Gestión Pública.</w:t>
      </w:r>
      <w:r w:rsidR="003456AD">
        <w:t xml:space="preserve"> </w:t>
      </w:r>
      <w:r w:rsidR="006C41F4">
        <w:t xml:space="preserve"> Busca facilitar el acceso a los servicios que brinda la Administración Pública y permitirle a las Entidades simplificar, estandarizar, eliminar, optimizar y automatizar sus trámites, acercando al ciudadano a los servicios que presta el Estado.</w:t>
      </w:r>
    </w:p>
    <w:p w:rsidR="00DD6942" w:rsidRDefault="006C41F4" w:rsidP="0062363C">
      <w:pPr>
        <w:jc w:val="both"/>
      </w:pPr>
      <w:r>
        <w:t xml:space="preserve"> En ésta </w:t>
      </w:r>
      <w:r w:rsidR="003456AD">
        <w:t>Estrategia Anti tramites,</w:t>
      </w:r>
      <w:r>
        <w:t xml:space="preserve"> </w:t>
      </w:r>
      <w:r w:rsidR="00E70163">
        <w:t xml:space="preserve">se incluye la acreditación de laboratorios ambientales y autorización de organizaciones </w:t>
      </w:r>
    </w:p>
    <w:p w:rsidR="00850758" w:rsidRPr="00B10A91" w:rsidRDefault="00FC13BB" w:rsidP="0062363C">
      <w:pPr>
        <w:jc w:val="both"/>
        <w:rPr>
          <w:b/>
        </w:rPr>
      </w:pPr>
      <w:r>
        <w:t>S</w:t>
      </w:r>
      <w:r w:rsidR="00DD6942">
        <w:t xml:space="preserve">e incluye en </w:t>
      </w:r>
      <w:r w:rsidR="00DD6942" w:rsidRPr="00853ED6">
        <w:rPr>
          <w:color w:val="C00000"/>
        </w:rPr>
        <w:t xml:space="preserve">el tercer </w:t>
      </w:r>
      <w:r w:rsidR="00DD6942">
        <w:t xml:space="preserve">componente la </w:t>
      </w:r>
      <w:r w:rsidR="00850758">
        <w:t xml:space="preserve"> </w:t>
      </w:r>
      <w:r w:rsidR="00B10A91" w:rsidRPr="00B10A91">
        <w:rPr>
          <w:b/>
        </w:rPr>
        <w:t>ESTRATEGIA DE PARTICIPACIÓN CIUDADANA EN LA GESTIÓN PÚBLICA</w:t>
      </w:r>
    </w:p>
    <w:p w:rsidR="00850758" w:rsidRDefault="00850758" w:rsidP="0062363C">
      <w:pPr>
        <w:jc w:val="both"/>
      </w:pPr>
      <w:r>
        <w:t>Donde se incluyen cinco fases del ciclo de la gestión</w:t>
      </w:r>
    </w:p>
    <w:p w:rsidR="003456AD" w:rsidRPr="003456AD" w:rsidRDefault="003456AD" w:rsidP="0062363C">
      <w:pPr>
        <w:jc w:val="both"/>
        <w:rPr>
          <w:rFonts w:ascii="Calibri" w:eastAsia="Times New Roman" w:hAnsi="Calibri" w:cs="Calibri"/>
          <w:b/>
          <w:bCs/>
          <w:color w:val="000000"/>
          <w:sz w:val="20"/>
          <w:szCs w:val="20"/>
          <w:lang w:eastAsia="es-CO"/>
        </w:rPr>
      </w:pPr>
      <w:r w:rsidRPr="003456AD">
        <w:rPr>
          <w:rFonts w:ascii="Calibri" w:eastAsia="Times New Roman" w:hAnsi="Calibri" w:cs="Calibri"/>
          <w:b/>
          <w:bCs/>
          <w:color w:val="000000"/>
          <w:sz w:val="20"/>
          <w:szCs w:val="20"/>
          <w:lang w:eastAsia="es-CO"/>
        </w:rPr>
        <w:t>Diagnóstico</w:t>
      </w:r>
    </w:p>
    <w:p w:rsidR="00850758" w:rsidRDefault="003456AD" w:rsidP="0062363C">
      <w:pPr>
        <w:jc w:val="both"/>
      </w:pPr>
      <w:r>
        <w:t>C</w:t>
      </w:r>
      <w:r w:rsidR="00850758">
        <w:t>omo principal actividad tiene la de determinar la efectividad de los mecanismos establecidos por la Entidad.</w:t>
      </w:r>
    </w:p>
    <w:p w:rsidR="003456AD" w:rsidRPr="003456AD" w:rsidRDefault="003456AD" w:rsidP="0062363C">
      <w:pPr>
        <w:jc w:val="both"/>
        <w:rPr>
          <w:rFonts w:ascii="Calibri" w:eastAsia="Times New Roman" w:hAnsi="Calibri" w:cs="Calibri"/>
          <w:b/>
          <w:bCs/>
          <w:color w:val="000000"/>
          <w:sz w:val="20"/>
          <w:szCs w:val="20"/>
          <w:lang w:eastAsia="es-CO"/>
        </w:rPr>
      </w:pPr>
      <w:r w:rsidRPr="003456AD">
        <w:rPr>
          <w:rFonts w:ascii="Calibri" w:eastAsia="Times New Roman" w:hAnsi="Calibri" w:cs="Calibri"/>
          <w:b/>
          <w:bCs/>
          <w:color w:val="000000"/>
          <w:sz w:val="20"/>
          <w:szCs w:val="20"/>
          <w:lang w:eastAsia="es-CO"/>
        </w:rPr>
        <w:t>Formulación/Planeación de políticas, planes, programas o proyectos</w:t>
      </w:r>
    </w:p>
    <w:p w:rsidR="00850758" w:rsidRDefault="003456AD" w:rsidP="0062363C">
      <w:pPr>
        <w:jc w:val="both"/>
      </w:pPr>
      <w:r>
        <w:t>D</w:t>
      </w:r>
      <w:r w:rsidR="00850758">
        <w:t>onde su actividad principal es la de formular una estrategia de participación ciudadana en la gestión pública.</w:t>
      </w:r>
    </w:p>
    <w:p w:rsidR="000E43E1" w:rsidRDefault="00850758" w:rsidP="0062363C">
      <w:pPr>
        <w:jc w:val="both"/>
      </w:pPr>
      <w:r w:rsidRPr="003456AD">
        <w:rPr>
          <w:b/>
        </w:rPr>
        <w:t>Implementación/ejecución/colaboración</w:t>
      </w:r>
      <w:r>
        <w:t xml:space="preserve"> </w:t>
      </w:r>
    </w:p>
    <w:p w:rsidR="000E43E1" w:rsidRDefault="000E43E1" w:rsidP="0062363C">
      <w:pPr>
        <w:jc w:val="both"/>
      </w:pPr>
      <w:r>
        <w:t>D</w:t>
      </w:r>
      <w:r w:rsidR="00850758">
        <w:t xml:space="preserve">onde mantiene dos actividades a saber: Fortalecer un mecanismo de participación de </w:t>
      </w:r>
      <w:r w:rsidR="00D01F6B">
        <w:t>menor</w:t>
      </w:r>
      <w:r w:rsidR="00850758">
        <w:t xml:space="preserve"> efectividad e identificar nuevos mecanismos de participación</w:t>
      </w:r>
    </w:p>
    <w:p w:rsidR="000E43E1" w:rsidRDefault="00850758" w:rsidP="0062363C">
      <w:pPr>
        <w:jc w:val="both"/>
      </w:pPr>
      <w:r w:rsidRPr="000E43E1">
        <w:rPr>
          <w:b/>
        </w:rPr>
        <w:t>Control/evaluación</w:t>
      </w:r>
      <w:r>
        <w:t xml:space="preserve"> </w:t>
      </w:r>
    </w:p>
    <w:p w:rsidR="00850758" w:rsidRDefault="000E43E1" w:rsidP="0062363C">
      <w:pPr>
        <w:jc w:val="both"/>
      </w:pPr>
      <w:r>
        <w:t>C</w:t>
      </w:r>
      <w:r w:rsidR="00850758">
        <w:t>uya actividad es evaluación y propuesta de mejora de la estrategia de participación ciudadana</w:t>
      </w:r>
    </w:p>
    <w:p w:rsidR="000E43E1" w:rsidRDefault="00687B09" w:rsidP="0062363C">
      <w:pPr>
        <w:jc w:val="both"/>
      </w:pPr>
      <w:r>
        <w:t>Y la última fase del ciclo de gestión es la de</w:t>
      </w:r>
    </w:p>
    <w:p w:rsidR="00687B09" w:rsidRDefault="00687B09" w:rsidP="0062363C">
      <w:pPr>
        <w:jc w:val="both"/>
      </w:pPr>
      <w:r>
        <w:t xml:space="preserve"> </w:t>
      </w:r>
      <w:r w:rsidRPr="000E43E1">
        <w:rPr>
          <w:b/>
        </w:rPr>
        <w:t>Acciones transversales</w:t>
      </w:r>
      <w:r>
        <w:t xml:space="preserve"> </w:t>
      </w:r>
      <w:r w:rsidR="000E43E1">
        <w:t xml:space="preserve"> C</w:t>
      </w:r>
      <w:r>
        <w:t>uya actividad se refiere a sensibilizar a la ciudadanía en la estrategia y mecanismos de participación del IDEAM.</w:t>
      </w:r>
    </w:p>
    <w:p w:rsidR="00DD6942" w:rsidRDefault="00687B09" w:rsidP="0062363C">
      <w:pPr>
        <w:jc w:val="both"/>
      </w:pPr>
      <w:r>
        <w:t xml:space="preserve">El </w:t>
      </w:r>
      <w:r w:rsidRPr="00853ED6">
        <w:rPr>
          <w:color w:val="C00000"/>
        </w:rPr>
        <w:t xml:space="preserve">cuarto </w:t>
      </w:r>
      <w:r>
        <w:t>componente es la</w:t>
      </w:r>
      <w:r w:rsidR="00850758">
        <w:t xml:space="preserve"> </w:t>
      </w:r>
      <w:r w:rsidR="000E43E1" w:rsidRPr="000E43E1">
        <w:rPr>
          <w:b/>
        </w:rPr>
        <w:t>RENDICIÓN DE CUENTAS</w:t>
      </w:r>
      <w:r w:rsidR="00DD6942">
        <w:t xml:space="preserve">. Su inclusión en el plan se fundamenta en la importancia de crear un ambiente de empoderamiento de lo público y de corresponsabilidad con la sociedad civil. </w:t>
      </w:r>
      <w:r w:rsidR="00216D13">
        <w:t>La Rendición de Cuentas es la expresión del Control Social, a través de un proceso transversal y permanente de la información entre La Entidad y los ciudadanos en general, que busca la transparencia de la Administración Pública.</w:t>
      </w:r>
    </w:p>
    <w:p w:rsidR="00DD6942" w:rsidRDefault="00DD6942" w:rsidP="0062363C">
      <w:pPr>
        <w:jc w:val="both"/>
      </w:pPr>
      <w:r>
        <w:t>De esta forma se beneficia la transparencia en el accionar del Estado y se recupera la confianza en las instituciones.</w:t>
      </w:r>
    </w:p>
    <w:p w:rsidR="00687B09" w:rsidRDefault="00687B09" w:rsidP="0062363C">
      <w:pPr>
        <w:jc w:val="both"/>
      </w:pPr>
      <w:r>
        <w:lastRenderedPageBreak/>
        <w:t>Aquí mantenemos cuatro subcomponentes a saber:</w:t>
      </w:r>
    </w:p>
    <w:p w:rsidR="00687B09" w:rsidRDefault="00687B09" w:rsidP="0062363C">
      <w:pPr>
        <w:jc w:val="both"/>
      </w:pPr>
      <w:r w:rsidRPr="000E43E1">
        <w:rPr>
          <w:b/>
        </w:rPr>
        <w:t>Información de calidad y en lenguaje comprensible</w:t>
      </w:r>
      <w:r>
        <w:t xml:space="preserve"> cuyas actividades están dadas así:</w:t>
      </w:r>
    </w:p>
    <w:p w:rsidR="00687B09" w:rsidRPr="00687B09" w:rsidRDefault="00687B09" w:rsidP="0062363C">
      <w:pPr>
        <w:jc w:val="both"/>
        <w:rPr>
          <w:rFonts w:ascii="Calibri" w:eastAsia="Times New Roman" w:hAnsi="Calibri" w:cs="Calibri"/>
          <w:sz w:val="20"/>
          <w:szCs w:val="20"/>
          <w:lang w:eastAsia="es-CO"/>
        </w:rPr>
      </w:pPr>
      <w:r w:rsidRPr="00687B09">
        <w:rPr>
          <w:rFonts w:ascii="Calibri" w:eastAsia="Times New Roman" w:hAnsi="Calibri" w:cs="Calibri"/>
          <w:sz w:val="20"/>
          <w:szCs w:val="20"/>
          <w:lang w:eastAsia="es-CO"/>
        </w:rPr>
        <w:t>Actualizar la caracterización de población objetivo del IDEAM basándose en estudios previos y análisis existentes.</w:t>
      </w:r>
    </w:p>
    <w:p w:rsidR="00687B09" w:rsidRDefault="00687B09" w:rsidP="0062363C">
      <w:pPr>
        <w:jc w:val="both"/>
        <w:rPr>
          <w:rFonts w:ascii="Calibri" w:eastAsia="Times New Roman" w:hAnsi="Calibri" w:cs="Calibri"/>
          <w:sz w:val="20"/>
          <w:szCs w:val="20"/>
          <w:lang w:eastAsia="es-CO"/>
        </w:rPr>
      </w:pPr>
      <w:r w:rsidRPr="00687B09">
        <w:rPr>
          <w:rFonts w:ascii="Calibri" w:eastAsia="Times New Roman" w:hAnsi="Calibri" w:cs="Calibri"/>
          <w:sz w:val="20"/>
          <w:szCs w:val="20"/>
          <w:lang w:eastAsia="es-CO"/>
        </w:rPr>
        <w:t>Publicar en la página Web de la entidad la información relacionada con Ley de Transparencia y aquellos mecanismos mediante los cuales la ciudadanía pueda verificar la rendición de cuentas.                                                               (Medios de divulgación: Página Web).</w:t>
      </w:r>
    </w:p>
    <w:p w:rsidR="00687B09" w:rsidRPr="00687B09" w:rsidRDefault="00687B09" w:rsidP="0062363C">
      <w:pPr>
        <w:jc w:val="both"/>
        <w:rPr>
          <w:rFonts w:ascii="Calibri" w:eastAsia="Times New Roman" w:hAnsi="Calibri" w:cs="Calibri"/>
          <w:sz w:val="20"/>
          <w:szCs w:val="20"/>
          <w:lang w:eastAsia="es-CO"/>
        </w:rPr>
      </w:pPr>
      <w:r w:rsidRPr="00687B09">
        <w:rPr>
          <w:rFonts w:ascii="Calibri" w:eastAsia="Times New Roman" w:hAnsi="Calibri" w:cs="Calibri"/>
          <w:sz w:val="20"/>
          <w:szCs w:val="20"/>
          <w:lang w:eastAsia="es-CO"/>
        </w:rPr>
        <w:t xml:space="preserve">Publicar noticias relacionadas con la gestión de la Entidad, avances y resultados.                                                        </w:t>
      </w:r>
    </w:p>
    <w:p w:rsidR="00687B09" w:rsidRPr="00687B09" w:rsidRDefault="00687B09" w:rsidP="0062363C">
      <w:pPr>
        <w:jc w:val="both"/>
        <w:rPr>
          <w:rFonts w:ascii="Calibri" w:eastAsia="Times New Roman" w:hAnsi="Calibri" w:cs="Calibri"/>
          <w:sz w:val="20"/>
          <w:szCs w:val="20"/>
          <w:lang w:eastAsia="es-CO"/>
        </w:rPr>
      </w:pPr>
      <w:r w:rsidRPr="00687B09">
        <w:rPr>
          <w:rFonts w:ascii="Calibri" w:eastAsia="Times New Roman" w:hAnsi="Calibri" w:cs="Calibri"/>
          <w:sz w:val="20"/>
          <w:szCs w:val="20"/>
          <w:lang w:eastAsia="es-CO"/>
        </w:rPr>
        <w:t>Divulgar los productos realizados por el IDEAM y su alcance.</w:t>
      </w:r>
    </w:p>
    <w:p w:rsidR="00687B09" w:rsidRDefault="00687B09" w:rsidP="0062363C">
      <w:pPr>
        <w:jc w:val="both"/>
        <w:rPr>
          <w:rFonts w:ascii="Calibri" w:eastAsia="Times New Roman" w:hAnsi="Calibri" w:cs="Calibri"/>
          <w:sz w:val="20"/>
          <w:szCs w:val="20"/>
          <w:lang w:eastAsia="es-CO"/>
        </w:rPr>
      </w:pPr>
      <w:r w:rsidRPr="00687B09">
        <w:rPr>
          <w:rFonts w:ascii="Calibri" w:eastAsia="Times New Roman" w:hAnsi="Calibri" w:cs="Calibri"/>
          <w:sz w:val="20"/>
          <w:szCs w:val="20"/>
          <w:lang w:eastAsia="es-CO"/>
        </w:rPr>
        <w:t>Publicación en página web información correspondiente a la Oficina de Cont</w:t>
      </w:r>
      <w:r>
        <w:rPr>
          <w:rFonts w:ascii="Calibri" w:eastAsia="Times New Roman" w:hAnsi="Calibri" w:cs="Calibri"/>
          <w:sz w:val="20"/>
          <w:szCs w:val="20"/>
          <w:lang w:eastAsia="es-CO"/>
        </w:rPr>
        <w:t>rol</w:t>
      </w:r>
      <w:r w:rsidRPr="00687B09">
        <w:rPr>
          <w:rFonts w:ascii="Calibri" w:eastAsia="Times New Roman" w:hAnsi="Calibri" w:cs="Calibri"/>
          <w:sz w:val="20"/>
          <w:szCs w:val="20"/>
          <w:lang w:eastAsia="es-CO"/>
        </w:rPr>
        <w:t xml:space="preserve"> Interno.</w:t>
      </w:r>
    </w:p>
    <w:p w:rsidR="00687B09" w:rsidRDefault="00687B09" w:rsidP="0062363C">
      <w:pPr>
        <w:jc w:val="both"/>
        <w:rPr>
          <w:rFonts w:ascii="Calibri" w:eastAsia="Times New Roman" w:hAnsi="Calibri" w:cs="Calibri"/>
          <w:sz w:val="20"/>
          <w:szCs w:val="20"/>
          <w:lang w:eastAsia="es-CO"/>
        </w:rPr>
      </w:pPr>
    </w:p>
    <w:p w:rsidR="00687B09" w:rsidRPr="000E43E1" w:rsidRDefault="00687B09" w:rsidP="0062363C">
      <w:pPr>
        <w:jc w:val="both"/>
        <w:rPr>
          <w:rFonts w:ascii="Calibri" w:eastAsia="Times New Roman" w:hAnsi="Calibri" w:cs="Calibri"/>
          <w:b/>
          <w:sz w:val="20"/>
          <w:szCs w:val="20"/>
          <w:lang w:eastAsia="es-CO"/>
        </w:rPr>
      </w:pPr>
      <w:r w:rsidRPr="000E43E1">
        <w:rPr>
          <w:rFonts w:ascii="Calibri" w:eastAsia="Times New Roman" w:hAnsi="Calibri" w:cs="Calibri"/>
          <w:b/>
          <w:sz w:val="20"/>
          <w:szCs w:val="20"/>
          <w:lang w:eastAsia="es-CO"/>
        </w:rPr>
        <w:t xml:space="preserve">Dialogo de doble vía con la ciudadanía y sus organizaciones </w:t>
      </w:r>
    </w:p>
    <w:p w:rsidR="00687B09" w:rsidRDefault="00687B09" w:rsidP="0062363C">
      <w:pPr>
        <w:jc w:val="both"/>
        <w:rPr>
          <w:rFonts w:ascii="Calibri" w:eastAsia="Times New Roman" w:hAnsi="Calibri" w:cs="Calibri"/>
          <w:sz w:val="20"/>
          <w:szCs w:val="20"/>
          <w:lang w:eastAsia="es-CO"/>
        </w:rPr>
      </w:pPr>
      <w:r>
        <w:rPr>
          <w:rFonts w:ascii="Calibri" w:eastAsia="Times New Roman" w:hAnsi="Calibri" w:cs="Calibri"/>
          <w:sz w:val="20"/>
          <w:szCs w:val="20"/>
          <w:lang w:eastAsia="es-CO"/>
        </w:rPr>
        <w:t>Donde se contemplan las siguientes actividades:</w:t>
      </w:r>
    </w:p>
    <w:p w:rsidR="00687B09" w:rsidRPr="00687B09" w:rsidRDefault="00687B09" w:rsidP="0062363C">
      <w:pPr>
        <w:jc w:val="both"/>
        <w:rPr>
          <w:rFonts w:ascii="Calibri" w:eastAsia="Times New Roman" w:hAnsi="Calibri" w:cs="Calibri"/>
          <w:sz w:val="20"/>
          <w:szCs w:val="20"/>
          <w:lang w:eastAsia="es-CO"/>
        </w:rPr>
      </w:pPr>
      <w:r w:rsidRPr="00687B09">
        <w:rPr>
          <w:rFonts w:ascii="Calibri" w:eastAsia="Times New Roman" w:hAnsi="Calibri" w:cs="Calibri"/>
          <w:sz w:val="20"/>
          <w:szCs w:val="20"/>
          <w:lang w:eastAsia="es-CO"/>
        </w:rPr>
        <w:t xml:space="preserve">Audiencia pública de rendición de cuentas (Presencial): </w:t>
      </w:r>
      <w:r w:rsidRPr="00687B09">
        <w:rPr>
          <w:rFonts w:ascii="Calibri" w:eastAsia="Times New Roman" w:hAnsi="Calibri" w:cs="Calibri"/>
          <w:sz w:val="20"/>
          <w:szCs w:val="20"/>
          <w:lang w:eastAsia="es-CO"/>
        </w:rPr>
        <w:br/>
        <w:t>(Foro-audiencia pública participativa) para divulgar a la ciudadanía y grupos de interés los resultados de la gestión institucional 2016.</w:t>
      </w:r>
    </w:p>
    <w:p w:rsidR="00687B09" w:rsidRPr="00687B09" w:rsidRDefault="00687B09" w:rsidP="0062363C">
      <w:pPr>
        <w:jc w:val="both"/>
        <w:rPr>
          <w:rFonts w:ascii="Calibri" w:eastAsia="Times New Roman" w:hAnsi="Calibri" w:cs="Calibri"/>
          <w:sz w:val="20"/>
          <w:szCs w:val="20"/>
          <w:lang w:eastAsia="es-CO"/>
        </w:rPr>
      </w:pPr>
      <w:r w:rsidRPr="00687B09">
        <w:rPr>
          <w:rFonts w:ascii="Calibri" w:eastAsia="Times New Roman" w:hAnsi="Calibri" w:cs="Calibri"/>
          <w:sz w:val="20"/>
          <w:szCs w:val="20"/>
          <w:lang w:eastAsia="es-CO"/>
        </w:rPr>
        <w:t xml:space="preserve">Foro virtual como espacio de diálogo a través de </w:t>
      </w:r>
      <w:proofErr w:type="spellStart"/>
      <w:r w:rsidRPr="00687B09">
        <w:rPr>
          <w:rFonts w:ascii="Calibri" w:eastAsia="Times New Roman" w:hAnsi="Calibri" w:cs="Calibri"/>
          <w:sz w:val="20"/>
          <w:szCs w:val="20"/>
          <w:lang w:eastAsia="es-CO"/>
        </w:rPr>
        <w:t>TIC's</w:t>
      </w:r>
      <w:proofErr w:type="spellEnd"/>
      <w:r w:rsidRPr="00687B09">
        <w:rPr>
          <w:rFonts w:ascii="Calibri" w:eastAsia="Times New Roman" w:hAnsi="Calibri" w:cs="Calibri"/>
          <w:sz w:val="20"/>
          <w:szCs w:val="20"/>
          <w:lang w:eastAsia="es-CO"/>
        </w:rPr>
        <w:t xml:space="preserve"> para dar a conocer la gestión de la Entidad y abrir un canal de comunicación entre el ciudadano y la entidad. (Medios de divulgación: Twitcam)</w:t>
      </w:r>
    </w:p>
    <w:p w:rsidR="00687B09" w:rsidRPr="00687B09" w:rsidRDefault="00687B09" w:rsidP="0062363C">
      <w:pPr>
        <w:jc w:val="both"/>
        <w:rPr>
          <w:rFonts w:ascii="Calibri" w:eastAsia="Times New Roman" w:hAnsi="Calibri" w:cs="Calibri"/>
          <w:sz w:val="20"/>
          <w:szCs w:val="20"/>
          <w:lang w:eastAsia="es-CO"/>
        </w:rPr>
      </w:pPr>
      <w:r w:rsidRPr="00687B09">
        <w:rPr>
          <w:rFonts w:ascii="Calibri" w:eastAsia="Times New Roman" w:hAnsi="Calibri" w:cs="Calibri"/>
          <w:sz w:val="20"/>
          <w:szCs w:val="20"/>
          <w:lang w:eastAsia="es-CO"/>
        </w:rPr>
        <w:t>Participar en las Ferias Nacionales de Servicio al Ciudadano</w:t>
      </w:r>
    </w:p>
    <w:p w:rsidR="00687B09" w:rsidRDefault="00687B09" w:rsidP="0062363C">
      <w:pPr>
        <w:jc w:val="both"/>
        <w:rPr>
          <w:rFonts w:ascii="Calibri" w:eastAsia="Times New Roman" w:hAnsi="Calibri" w:cs="Calibri"/>
          <w:sz w:val="20"/>
          <w:szCs w:val="20"/>
          <w:lang w:eastAsia="es-CO"/>
        </w:rPr>
      </w:pPr>
    </w:p>
    <w:p w:rsidR="00687B09" w:rsidRPr="000E43E1" w:rsidRDefault="00BA58DF" w:rsidP="0062363C">
      <w:pPr>
        <w:jc w:val="both"/>
        <w:rPr>
          <w:rFonts w:ascii="Calibri" w:eastAsia="Times New Roman" w:hAnsi="Calibri" w:cs="Calibri"/>
          <w:b/>
          <w:sz w:val="20"/>
          <w:szCs w:val="20"/>
          <w:lang w:eastAsia="es-CO"/>
        </w:rPr>
      </w:pPr>
      <w:r w:rsidRPr="000E43E1">
        <w:rPr>
          <w:rFonts w:ascii="Calibri" w:eastAsia="Times New Roman" w:hAnsi="Calibri" w:cs="Calibri"/>
          <w:b/>
          <w:sz w:val="20"/>
          <w:szCs w:val="20"/>
          <w:lang w:eastAsia="es-CO"/>
        </w:rPr>
        <w:t xml:space="preserve">Incentivos para motivar la cultura de la rendición y petición de cuentas, cuyas actividades se encuentran enmarcadas </w:t>
      </w:r>
      <w:r w:rsidR="00F83FD2" w:rsidRPr="000E43E1">
        <w:rPr>
          <w:rFonts w:ascii="Calibri" w:eastAsia="Times New Roman" w:hAnsi="Calibri" w:cs="Calibri"/>
          <w:b/>
          <w:sz w:val="20"/>
          <w:szCs w:val="20"/>
          <w:lang w:eastAsia="es-CO"/>
        </w:rPr>
        <w:t>así</w:t>
      </w:r>
      <w:r w:rsidRPr="000E43E1">
        <w:rPr>
          <w:rFonts w:ascii="Calibri" w:eastAsia="Times New Roman" w:hAnsi="Calibri" w:cs="Calibri"/>
          <w:b/>
          <w:sz w:val="20"/>
          <w:szCs w:val="20"/>
          <w:lang w:eastAsia="es-CO"/>
        </w:rPr>
        <w:t>:</w:t>
      </w:r>
    </w:p>
    <w:p w:rsidR="00BA58DF" w:rsidRDefault="00BA58DF" w:rsidP="0062363C">
      <w:pPr>
        <w:jc w:val="both"/>
        <w:rPr>
          <w:rFonts w:ascii="Calibri" w:eastAsia="Times New Roman" w:hAnsi="Calibri" w:cs="Calibri"/>
          <w:sz w:val="20"/>
          <w:szCs w:val="20"/>
          <w:lang w:eastAsia="es-CO"/>
        </w:rPr>
      </w:pPr>
    </w:p>
    <w:p w:rsidR="00BA58DF" w:rsidRPr="00BA58DF" w:rsidRDefault="00BA58DF" w:rsidP="0062363C">
      <w:pPr>
        <w:jc w:val="both"/>
        <w:rPr>
          <w:rFonts w:ascii="Calibri" w:eastAsia="Times New Roman" w:hAnsi="Calibri" w:cs="Calibri"/>
          <w:sz w:val="20"/>
          <w:szCs w:val="20"/>
          <w:lang w:eastAsia="es-CO"/>
        </w:rPr>
      </w:pPr>
      <w:r w:rsidRPr="00BA58DF">
        <w:rPr>
          <w:rFonts w:ascii="Calibri" w:eastAsia="Times New Roman" w:hAnsi="Calibri" w:cs="Calibri"/>
          <w:sz w:val="20"/>
          <w:szCs w:val="20"/>
          <w:lang w:eastAsia="es-CO"/>
        </w:rPr>
        <w:t>Identificar uno de los usuarios que más consulta la información del IDEAM y otro que haga uso de la misma, para entregarles un reconocimiento a su fidelidad.</w:t>
      </w:r>
    </w:p>
    <w:p w:rsidR="00BA58DF" w:rsidRPr="00BA58DF" w:rsidRDefault="00BA58DF" w:rsidP="0062363C">
      <w:pPr>
        <w:jc w:val="both"/>
        <w:rPr>
          <w:rFonts w:ascii="Calibri" w:eastAsia="Times New Roman" w:hAnsi="Calibri" w:cs="Calibri"/>
          <w:sz w:val="20"/>
          <w:szCs w:val="20"/>
          <w:lang w:eastAsia="es-CO"/>
        </w:rPr>
      </w:pPr>
      <w:r w:rsidRPr="00BA58DF">
        <w:rPr>
          <w:rFonts w:ascii="Calibri" w:eastAsia="Times New Roman" w:hAnsi="Calibri" w:cs="Calibri"/>
          <w:sz w:val="20"/>
          <w:szCs w:val="20"/>
          <w:lang w:eastAsia="es-CO"/>
        </w:rPr>
        <w:t>Identificar un servidor del IDEAM para hacer visible su labor, en pro de las prácticas de Participación Ciudadana,  a través de la publicación de una nota en la revista interna u otros canales de divulgación interna</w:t>
      </w:r>
    </w:p>
    <w:p w:rsidR="00BA58DF" w:rsidRPr="00BA58DF" w:rsidRDefault="00BA58DF" w:rsidP="0062363C">
      <w:pPr>
        <w:jc w:val="both"/>
        <w:rPr>
          <w:rFonts w:ascii="Calibri" w:eastAsia="Times New Roman" w:hAnsi="Calibri" w:cs="Calibri"/>
          <w:sz w:val="20"/>
          <w:szCs w:val="20"/>
          <w:lang w:eastAsia="es-CO"/>
        </w:rPr>
      </w:pPr>
      <w:r w:rsidRPr="00BA58DF">
        <w:rPr>
          <w:rFonts w:ascii="Calibri" w:eastAsia="Times New Roman" w:hAnsi="Calibri" w:cs="Calibri"/>
          <w:sz w:val="20"/>
          <w:szCs w:val="20"/>
          <w:lang w:eastAsia="es-CO"/>
        </w:rPr>
        <w:t>Fortalecer las competencias de los funcionarios del IDEAM a través de la</w:t>
      </w:r>
      <w:r w:rsidR="000E43E1">
        <w:rPr>
          <w:rFonts w:ascii="Calibri" w:eastAsia="Times New Roman" w:hAnsi="Calibri" w:cs="Calibri"/>
          <w:sz w:val="20"/>
          <w:szCs w:val="20"/>
          <w:lang w:eastAsia="es-CO"/>
        </w:rPr>
        <w:t>s</w:t>
      </w:r>
      <w:r w:rsidRPr="00BA58DF">
        <w:rPr>
          <w:rFonts w:ascii="Calibri" w:eastAsia="Times New Roman" w:hAnsi="Calibri" w:cs="Calibri"/>
          <w:sz w:val="20"/>
          <w:szCs w:val="20"/>
          <w:lang w:eastAsia="es-CO"/>
        </w:rPr>
        <w:t xml:space="preserve"> capacitaciones presenciales y/o virtuales que se encuentren enfocadas a buenas prácticas de Rendición de Cuentas.                                            </w:t>
      </w:r>
    </w:p>
    <w:p w:rsidR="00BA58DF" w:rsidRPr="00BA58DF" w:rsidRDefault="00BA58DF" w:rsidP="0062363C">
      <w:pPr>
        <w:jc w:val="both"/>
        <w:rPr>
          <w:rFonts w:ascii="Calibri" w:eastAsia="Times New Roman" w:hAnsi="Calibri" w:cs="Calibri"/>
          <w:sz w:val="20"/>
          <w:szCs w:val="20"/>
          <w:lang w:eastAsia="es-CO"/>
        </w:rPr>
      </w:pPr>
      <w:r w:rsidRPr="00BA58DF">
        <w:rPr>
          <w:rFonts w:ascii="Calibri" w:eastAsia="Times New Roman" w:hAnsi="Calibri" w:cs="Calibri"/>
          <w:sz w:val="20"/>
          <w:szCs w:val="20"/>
          <w:lang w:eastAsia="es-CO"/>
        </w:rPr>
        <w:t xml:space="preserve">Hacer reconocimiento público al servidor público del IDEAM que se destaque por la realización de prácticas de Rendición de Cuentas en el cumplimiento de su labor.          </w:t>
      </w:r>
    </w:p>
    <w:p w:rsidR="00BA58DF" w:rsidRDefault="006241EC" w:rsidP="0062363C">
      <w:pPr>
        <w:jc w:val="both"/>
        <w:rPr>
          <w:rFonts w:ascii="Calibri" w:eastAsia="Times New Roman" w:hAnsi="Calibri" w:cs="Calibri"/>
          <w:sz w:val="20"/>
          <w:szCs w:val="20"/>
          <w:lang w:eastAsia="es-CO"/>
        </w:rPr>
      </w:pPr>
      <w:r>
        <w:rPr>
          <w:rFonts w:ascii="Calibri" w:eastAsia="Times New Roman" w:hAnsi="Calibri" w:cs="Calibri"/>
          <w:sz w:val="20"/>
          <w:szCs w:val="20"/>
          <w:lang w:eastAsia="es-CO"/>
        </w:rPr>
        <w:lastRenderedPageBreak/>
        <w:t xml:space="preserve"> Y como </w:t>
      </w:r>
      <w:r w:rsidR="004A4580">
        <w:rPr>
          <w:rFonts w:ascii="Calibri" w:eastAsia="Times New Roman" w:hAnsi="Calibri" w:cs="Calibri"/>
          <w:sz w:val="20"/>
          <w:szCs w:val="20"/>
          <w:lang w:eastAsia="es-CO"/>
        </w:rPr>
        <w:t>último</w:t>
      </w:r>
      <w:r w:rsidR="00BA58DF">
        <w:rPr>
          <w:rFonts w:ascii="Calibri" w:eastAsia="Times New Roman" w:hAnsi="Calibri" w:cs="Calibri"/>
          <w:sz w:val="20"/>
          <w:szCs w:val="20"/>
          <w:lang w:eastAsia="es-CO"/>
        </w:rPr>
        <w:t xml:space="preserve"> subcomponente tenemos:</w:t>
      </w:r>
    </w:p>
    <w:p w:rsidR="00BA58DF" w:rsidRPr="000E43E1" w:rsidRDefault="00BA58DF" w:rsidP="0062363C">
      <w:pPr>
        <w:jc w:val="both"/>
        <w:rPr>
          <w:rFonts w:ascii="Calibri" w:eastAsia="Times New Roman" w:hAnsi="Calibri" w:cs="Calibri"/>
          <w:b/>
          <w:sz w:val="20"/>
          <w:szCs w:val="20"/>
          <w:lang w:eastAsia="es-CO"/>
        </w:rPr>
      </w:pPr>
      <w:r w:rsidRPr="000E43E1">
        <w:rPr>
          <w:rFonts w:ascii="Calibri" w:eastAsia="Times New Roman" w:hAnsi="Calibri" w:cs="Calibri"/>
          <w:b/>
          <w:sz w:val="20"/>
          <w:szCs w:val="20"/>
          <w:lang w:eastAsia="es-CO"/>
        </w:rPr>
        <w:t>Evaluación y retroalimentación a la gestión institucional</w:t>
      </w:r>
      <w:r w:rsidR="004A4580" w:rsidRPr="000E43E1">
        <w:rPr>
          <w:rFonts w:ascii="Calibri" w:eastAsia="Times New Roman" w:hAnsi="Calibri" w:cs="Calibri"/>
          <w:b/>
          <w:sz w:val="20"/>
          <w:szCs w:val="20"/>
          <w:lang w:eastAsia="es-CO"/>
        </w:rPr>
        <w:t xml:space="preserve"> </w:t>
      </w:r>
    </w:p>
    <w:p w:rsidR="00687B09" w:rsidRDefault="004A4580" w:rsidP="0062363C">
      <w:pPr>
        <w:jc w:val="both"/>
      </w:pPr>
      <w:r>
        <w:rPr>
          <w:rFonts w:ascii="Calibri" w:eastAsia="Times New Roman" w:hAnsi="Calibri" w:cs="Calibri"/>
          <w:sz w:val="20"/>
          <w:szCs w:val="20"/>
          <w:lang w:eastAsia="es-CO"/>
        </w:rPr>
        <w:t xml:space="preserve"> Como actividad principal </w:t>
      </w:r>
      <w:r w:rsidR="000E43E1">
        <w:rPr>
          <w:rFonts w:ascii="Calibri" w:eastAsia="Times New Roman" w:hAnsi="Calibri" w:cs="Calibri"/>
          <w:sz w:val="20"/>
          <w:szCs w:val="20"/>
          <w:lang w:eastAsia="es-CO"/>
        </w:rPr>
        <w:t>mantiene:</w:t>
      </w:r>
      <w:r>
        <w:rPr>
          <w:rFonts w:ascii="Calibri" w:eastAsia="Times New Roman" w:hAnsi="Calibri" w:cs="Calibri"/>
          <w:sz w:val="20"/>
          <w:szCs w:val="20"/>
          <w:lang w:eastAsia="es-CO"/>
        </w:rPr>
        <w:t xml:space="preserve"> </w:t>
      </w:r>
      <w:r w:rsidRPr="004A4580">
        <w:rPr>
          <w:rFonts w:ascii="Calibri" w:eastAsia="Times New Roman" w:hAnsi="Calibri" w:cs="Calibri"/>
          <w:sz w:val="20"/>
          <w:szCs w:val="20"/>
          <w:lang w:eastAsia="es-CO"/>
        </w:rPr>
        <w:t>Evaluación y propuesta de mejoras de la estrategia de rendición de cuentas.</w:t>
      </w:r>
    </w:p>
    <w:p w:rsidR="00DD6942" w:rsidRDefault="00DD6942" w:rsidP="0062363C">
      <w:pPr>
        <w:jc w:val="both"/>
      </w:pPr>
      <w:r>
        <w:t xml:space="preserve">En el </w:t>
      </w:r>
      <w:r w:rsidR="00687B09" w:rsidRPr="00853ED6">
        <w:rPr>
          <w:color w:val="C00000"/>
        </w:rPr>
        <w:t>quint</w:t>
      </w:r>
      <w:r w:rsidRPr="00853ED6">
        <w:rPr>
          <w:color w:val="C00000"/>
        </w:rPr>
        <w:t>o</w:t>
      </w:r>
      <w:r>
        <w:t xml:space="preserve"> componente</w:t>
      </w:r>
      <w:r w:rsidR="0056564E">
        <w:t xml:space="preserve"> </w:t>
      </w:r>
      <w:r w:rsidR="0056564E" w:rsidRPr="0056564E">
        <w:rPr>
          <w:b/>
        </w:rPr>
        <w:t>SERVICIO AL CIUDADANO</w:t>
      </w:r>
      <w:r w:rsidR="0056564E">
        <w:t xml:space="preserve"> </w:t>
      </w:r>
      <w:r>
        <w:t xml:space="preserve">se abordan los elementos que requieren integrar una estrategia de Servicio al Ciudadano, indicando la secuencia de actividades que deben desarrollarse al interior de la entidad para mejorar la calidad y accesibilidad de los trámites y servicios que se ofrecen a los ciudadanos y garantizar su satisfacción. Así mismo, en cumplimiento del artículo 76  de la Ley 1474 de 2011, se establecen los estándares que como mínimo deben tener las dependencias encargadas de gestionar las peticiones, quejas, sugerencias y reclamos de las entidades públicas. </w:t>
      </w:r>
    </w:p>
    <w:p w:rsidR="00216D13" w:rsidRDefault="00DD6942" w:rsidP="0062363C">
      <w:pPr>
        <w:jc w:val="both"/>
      </w:pPr>
      <w:r>
        <w:t xml:space="preserve">De igual manera, y en aras de dar cumplimiento a la Ley 1712 del 6 de marzo de 2014, </w:t>
      </w:r>
      <w:r w:rsidR="00C62749">
        <w:t>“</w:t>
      </w:r>
      <w:r>
        <w:t>por medio de la cual se crea la Ley de Transparencia y del Derecho de Acceso a la Información Pública Nacional y se dictan otras disposiciones", se plasma dicho componente.</w:t>
      </w:r>
      <w:r w:rsidR="00605095">
        <w:t xml:space="preserve"> </w:t>
      </w:r>
      <w:r w:rsidR="00216D13">
        <w:t>Este Componente busca garantizar el acceso</w:t>
      </w:r>
      <w:r w:rsidR="00605095">
        <w:t xml:space="preserve"> de los ciudadanos a los trámites y servicios que presta la Administración Pública conforme a los principios de información completa, clara, consistente, con altos niveles de calidad, oportunidad en el servicio y ajuste a sus necesidades, realidades y expectativas.</w:t>
      </w:r>
    </w:p>
    <w:p w:rsidR="00BA58DF" w:rsidRDefault="00BA58DF" w:rsidP="0062363C">
      <w:pPr>
        <w:jc w:val="both"/>
      </w:pPr>
      <w:r>
        <w:t xml:space="preserve">En este componente del servicio al ciudadano mantenemos cinco subcomponentes relacionados  </w:t>
      </w:r>
      <w:r w:rsidR="00F83FD2">
        <w:t>así</w:t>
      </w:r>
      <w:r>
        <w:t>:</w:t>
      </w:r>
    </w:p>
    <w:p w:rsidR="000E43E1" w:rsidRPr="000E43E1" w:rsidRDefault="000E43E1" w:rsidP="0062363C">
      <w:pPr>
        <w:jc w:val="both"/>
        <w:rPr>
          <w:rFonts w:ascii="Calibri" w:eastAsia="Times New Roman" w:hAnsi="Calibri" w:cs="Calibri"/>
          <w:color w:val="000000"/>
          <w:sz w:val="20"/>
          <w:szCs w:val="20"/>
          <w:lang w:eastAsia="es-CO"/>
        </w:rPr>
      </w:pPr>
      <w:r w:rsidRPr="000E43E1">
        <w:rPr>
          <w:rFonts w:ascii="Calibri" w:eastAsia="Times New Roman" w:hAnsi="Calibri" w:cs="Calibri"/>
          <w:b/>
          <w:bCs/>
          <w:color w:val="000000"/>
          <w:sz w:val="20"/>
          <w:szCs w:val="20"/>
          <w:lang w:eastAsia="es-CO"/>
        </w:rPr>
        <w:t>Subcomponente</w:t>
      </w:r>
      <w:r w:rsidRPr="000E43E1">
        <w:rPr>
          <w:rFonts w:ascii="Calibri" w:eastAsia="Times New Roman" w:hAnsi="Calibri" w:cs="Calibri"/>
          <w:color w:val="000000"/>
          <w:sz w:val="20"/>
          <w:szCs w:val="20"/>
          <w:lang w:eastAsia="es-CO"/>
        </w:rPr>
        <w:t xml:space="preserve">                         </w:t>
      </w:r>
      <w:r w:rsidRPr="000E43E1">
        <w:rPr>
          <w:rFonts w:ascii="Calibri" w:eastAsia="Times New Roman" w:hAnsi="Calibri" w:cs="Calibri"/>
          <w:color w:val="000000"/>
          <w:sz w:val="20"/>
          <w:szCs w:val="20"/>
          <w:lang w:eastAsia="es-CO"/>
        </w:rPr>
        <w:br/>
      </w:r>
      <w:r w:rsidRPr="000E43E1">
        <w:rPr>
          <w:rFonts w:ascii="Calibri" w:eastAsia="Times New Roman" w:hAnsi="Calibri" w:cs="Calibri"/>
          <w:b/>
          <w:color w:val="000000"/>
          <w:sz w:val="20"/>
          <w:szCs w:val="20"/>
          <w:lang w:eastAsia="es-CO"/>
        </w:rPr>
        <w:t>Estructura administrativa y Direccionamiento estratégico</w:t>
      </w:r>
      <w:r w:rsidRPr="000E43E1">
        <w:rPr>
          <w:rFonts w:ascii="Calibri" w:eastAsia="Times New Roman" w:hAnsi="Calibri" w:cs="Calibri"/>
          <w:color w:val="000000"/>
          <w:sz w:val="20"/>
          <w:szCs w:val="20"/>
          <w:lang w:eastAsia="es-CO"/>
        </w:rPr>
        <w:t xml:space="preserve"> </w:t>
      </w:r>
    </w:p>
    <w:p w:rsidR="000E43E1" w:rsidRDefault="00BA58DF" w:rsidP="0062363C">
      <w:pPr>
        <w:jc w:val="both"/>
        <w:rPr>
          <w:rFonts w:ascii="Calibri" w:eastAsia="Times New Roman" w:hAnsi="Calibri" w:cs="Calibri"/>
          <w:color w:val="000000"/>
          <w:sz w:val="20"/>
          <w:szCs w:val="20"/>
          <w:lang w:eastAsia="es-CO"/>
        </w:rPr>
      </w:pPr>
      <w:r>
        <w:t xml:space="preserve">Cuya actividad principal está reflejada en </w:t>
      </w:r>
      <w:r w:rsidRPr="00BA58DF">
        <w:rPr>
          <w:rFonts w:ascii="Calibri" w:eastAsia="Times New Roman" w:hAnsi="Calibri" w:cs="Calibri"/>
          <w:color w:val="000000"/>
          <w:sz w:val="20"/>
          <w:szCs w:val="20"/>
          <w:lang w:eastAsia="es-CO"/>
        </w:rPr>
        <w:t>Realizar seguimiento a la estrategia de servicio de Atención al Ciudadano.</w:t>
      </w:r>
    </w:p>
    <w:p w:rsidR="0036582D" w:rsidRDefault="0036582D" w:rsidP="0062363C">
      <w:pPr>
        <w:jc w:val="both"/>
        <w:rPr>
          <w:rFonts w:ascii="Calibri" w:eastAsia="Times New Roman" w:hAnsi="Calibri" w:cs="Calibri"/>
          <w:b/>
          <w:color w:val="000000"/>
          <w:sz w:val="20"/>
          <w:szCs w:val="20"/>
          <w:lang w:eastAsia="es-CO"/>
        </w:rPr>
      </w:pPr>
      <w:r w:rsidRPr="0036582D">
        <w:rPr>
          <w:rFonts w:ascii="Calibri" w:eastAsia="Times New Roman" w:hAnsi="Calibri" w:cs="Calibri"/>
          <w:b/>
          <w:color w:val="000000"/>
          <w:sz w:val="20"/>
          <w:szCs w:val="20"/>
          <w:lang w:eastAsia="es-CO"/>
        </w:rPr>
        <w:t xml:space="preserve">Subcomponente </w:t>
      </w:r>
    </w:p>
    <w:p w:rsidR="0036582D" w:rsidRPr="0036582D" w:rsidRDefault="0036582D" w:rsidP="0062363C">
      <w:pPr>
        <w:jc w:val="both"/>
        <w:rPr>
          <w:rFonts w:ascii="Calibri" w:eastAsia="Times New Roman" w:hAnsi="Calibri" w:cs="Calibri"/>
          <w:b/>
          <w:color w:val="000000"/>
          <w:sz w:val="20"/>
          <w:szCs w:val="20"/>
          <w:lang w:eastAsia="es-CO"/>
        </w:rPr>
      </w:pPr>
      <w:r w:rsidRPr="0036582D">
        <w:rPr>
          <w:rFonts w:ascii="Calibri" w:eastAsia="Times New Roman" w:hAnsi="Calibri" w:cs="Calibri"/>
          <w:b/>
          <w:color w:val="000000"/>
          <w:sz w:val="20"/>
          <w:szCs w:val="20"/>
          <w:lang w:eastAsia="es-CO"/>
        </w:rPr>
        <w:t>Fortalecimiento de los canales de Atención</w:t>
      </w:r>
    </w:p>
    <w:p w:rsidR="00BA58DF" w:rsidRPr="004A4580" w:rsidRDefault="000E43E1" w:rsidP="0062363C">
      <w:pPr>
        <w:jc w:val="both"/>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 xml:space="preserve"> </w:t>
      </w:r>
      <w:r w:rsidR="001E3ED8" w:rsidRPr="004A4580">
        <w:rPr>
          <w:rFonts w:ascii="Calibri" w:eastAsia="Times New Roman" w:hAnsi="Calibri" w:cs="Calibri"/>
          <w:color w:val="000000"/>
          <w:sz w:val="20"/>
          <w:szCs w:val="20"/>
          <w:lang w:eastAsia="es-CO"/>
        </w:rPr>
        <w:t>Y</w:t>
      </w:r>
      <w:r w:rsidR="00BA58DF" w:rsidRPr="004A4580">
        <w:rPr>
          <w:rFonts w:ascii="Calibri" w:eastAsia="Times New Roman" w:hAnsi="Calibri" w:cs="Calibri"/>
          <w:color w:val="000000"/>
          <w:sz w:val="20"/>
          <w:szCs w:val="20"/>
          <w:lang w:eastAsia="es-CO"/>
        </w:rPr>
        <w:t xml:space="preserve"> tenemos dos actividades principales a saber:</w:t>
      </w:r>
    </w:p>
    <w:p w:rsidR="00BA58DF" w:rsidRPr="00BA58DF" w:rsidRDefault="00BA58DF" w:rsidP="0062363C">
      <w:pPr>
        <w:jc w:val="both"/>
        <w:rPr>
          <w:rFonts w:ascii="Calibri" w:eastAsia="Times New Roman" w:hAnsi="Calibri" w:cs="Calibri"/>
          <w:color w:val="000000"/>
          <w:sz w:val="20"/>
          <w:szCs w:val="20"/>
          <w:lang w:eastAsia="es-CO"/>
        </w:rPr>
      </w:pPr>
      <w:r w:rsidRPr="00BA58DF">
        <w:rPr>
          <w:rFonts w:ascii="Calibri" w:eastAsia="Times New Roman" w:hAnsi="Calibri" w:cs="Calibri"/>
          <w:color w:val="000000"/>
          <w:sz w:val="20"/>
          <w:szCs w:val="20"/>
          <w:lang w:eastAsia="es-CO"/>
        </w:rPr>
        <w:t>Publicar en la Web, trimestralmente, el informe de la gestión de las PQRS.</w:t>
      </w:r>
    </w:p>
    <w:p w:rsidR="00BA58DF" w:rsidRPr="00BA58DF" w:rsidRDefault="00BA58DF" w:rsidP="0062363C">
      <w:pPr>
        <w:jc w:val="both"/>
        <w:rPr>
          <w:rFonts w:ascii="Calibri" w:eastAsia="Times New Roman" w:hAnsi="Calibri" w:cs="Calibri"/>
          <w:color w:val="000000"/>
          <w:sz w:val="20"/>
          <w:szCs w:val="20"/>
          <w:lang w:eastAsia="es-CO"/>
        </w:rPr>
      </w:pPr>
      <w:r w:rsidRPr="00BA58DF">
        <w:rPr>
          <w:rFonts w:ascii="Calibri" w:eastAsia="Times New Roman" w:hAnsi="Calibri" w:cs="Calibri"/>
          <w:color w:val="000000"/>
          <w:sz w:val="20"/>
          <w:szCs w:val="20"/>
          <w:lang w:eastAsia="es-CO"/>
        </w:rPr>
        <w:t>Mantener actualizada la información dirigida al ciudadano a través de los diferentes canales de Atención al Ciudadano.</w:t>
      </w:r>
    </w:p>
    <w:p w:rsidR="00BA58DF" w:rsidRDefault="00BA58DF" w:rsidP="0062363C">
      <w:pPr>
        <w:jc w:val="both"/>
      </w:pPr>
    </w:p>
    <w:p w:rsidR="00BA58DF" w:rsidRPr="0036582D" w:rsidRDefault="00BA58DF" w:rsidP="0062363C">
      <w:pPr>
        <w:jc w:val="both"/>
        <w:rPr>
          <w:b/>
        </w:rPr>
      </w:pPr>
      <w:r w:rsidRPr="0036582D">
        <w:rPr>
          <w:b/>
        </w:rPr>
        <w:t>Subcomponente Talento Humano</w:t>
      </w:r>
    </w:p>
    <w:p w:rsidR="00BA58DF" w:rsidRDefault="00BA58DF" w:rsidP="0062363C">
      <w:pPr>
        <w:jc w:val="both"/>
      </w:pPr>
      <w:r>
        <w:t>Cuya actividad principal es la de promover en La Entidad una cultura de servicio al ciudadano</w:t>
      </w:r>
    </w:p>
    <w:p w:rsidR="00853ED6" w:rsidRDefault="00853ED6" w:rsidP="0062363C">
      <w:pPr>
        <w:jc w:val="both"/>
      </w:pPr>
    </w:p>
    <w:p w:rsidR="00853ED6" w:rsidRPr="00605095" w:rsidRDefault="00853ED6" w:rsidP="0062363C">
      <w:pPr>
        <w:jc w:val="both"/>
        <w:rPr>
          <w:b/>
        </w:rPr>
      </w:pPr>
      <w:r w:rsidRPr="00605095">
        <w:rPr>
          <w:b/>
        </w:rPr>
        <w:lastRenderedPageBreak/>
        <w:t>Subcomponente Normativo y procedimental</w:t>
      </w:r>
    </w:p>
    <w:p w:rsidR="00853ED6" w:rsidRDefault="00853ED6" w:rsidP="0062363C">
      <w:pPr>
        <w:jc w:val="both"/>
      </w:pPr>
      <w:r>
        <w:t>Cuya actividad  se refiere a realizar reporte del seguimiento hecho a la gestión de las PQRS.</w:t>
      </w:r>
    </w:p>
    <w:p w:rsidR="00853ED6" w:rsidRPr="0036582D" w:rsidRDefault="00853ED6" w:rsidP="0062363C">
      <w:pPr>
        <w:jc w:val="both"/>
        <w:rPr>
          <w:b/>
        </w:rPr>
      </w:pPr>
      <w:r w:rsidRPr="0036582D">
        <w:rPr>
          <w:b/>
        </w:rPr>
        <w:t>Subcomponente Relacionamiento con el ciudadano</w:t>
      </w:r>
    </w:p>
    <w:p w:rsidR="00853ED6" w:rsidRDefault="004A4580" w:rsidP="0062363C">
      <w:pPr>
        <w:jc w:val="both"/>
      </w:pPr>
      <w:r>
        <w:t>M</w:t>
      </w:r>
      <w:r w:rsidR="00853ED6">
        <w:t xml:space="preserve">antiene dos actividades a realizar </w:t>
      </w:r>
    </w:p>
    <w:p w:rsidR="00853ED6" w:rsidRPr="00853ED6" w:rsidRDefault="00853ED6" w:rsidP="0062363C">
      <w:pPr>
        <w:jc w:val="both"/>
        <w:rPr>
          <w:rFonts w:ascii="Calibri" w:eastAsia="Times New Roman" w:hAnsi="Calibri" w:cs="Calibri"/>
          <w:color w:val="000000"/>
          <w:sz w:val="20"/>
          <w:szCs w:val="20"/>
          <w:lang w:eastAsia="es-CO"/>
        </w:rPr>
      </w:pPr>
      <w:r w:rsidRPr="00853ED6">
        <w:rPr>
          <w:rFonts w:ascii="Calibri" w:eastAsia="Times New Roman" w:hAnsi="Calibri" w:cs="Calibri"/>
          <w:color w:val="000000"/>
          <w:sz w:val="20"/>
          <w:szCs w:val="20"/>
          <w:lang w:eastAsia="es-CO"/>
        </w:rPr>
        <w:t>Realizar la medición del Nivel de Satisfacción de Usuarios del IDEAM.</w:t>
      </w:r>
    </w:p>
    <w:p w:rsidR="00853ED6" w:rsidRPr="00853ED6" w:rsidRDefault="00853ED6" w:rsidP="0062363C">
      <w:pPr>
        <w:jc w:val="both"/>
        <w:rPr>
          <w:rFonts w:ascii="Calibri" w:eastAsia="Times New Roman" w:hAnsi="Calibri" w:cs="Calibri"/>
          <w:color w:val="000000"/>
          <w:sz w:val="20"/>
          <w:szCs w:val="20"/>
          <w:lang w:eastAsia="es-CO"/>
        </w:rPr>
      </w:pPr>
      <w:r w:rsidRPr="00853ED6">
        <w:rPr>
          <w:rFonts w:ascii="Calibri" w:eastAsia="Times New Roman" w:hAnsi="Calibri" w:cs="Calibri"/>
          <w:color w:val="000000"/>
          <w:sz w:val="20"/>
          <w:szCs w:val="20"/>
          <w:lang w:eastAsia="es-CO"/>
        </w:rPr>
        <w:t>Implementar acciones de mejora viables producto de análisis de la medición de la NSU</w:t>
      </w:r>
    </w:p>
    <w:p w:rsidR="00853ED6" w:rsidRDefault="00853ED6" w:rsidP="0062363C">
      <w:pPr>
        <w:jc w:val="both"/>
      </w:pPr>
    </w:p>
    <w:p w:rsidR="00853ED6" w:rsidRDefault="00853ED6" w:rsidP="0062363C">
      <w:pPr>
        <w:jc w:val="both"/>
      </w:pPr>
    </w:p>
    <w:p w:rsidR="00605095" w:rsidRDefault="00853ED6" w:rsidP="0062363C">
      <w:pPr>
        <w:jc w:val="both"/>
        <w:rPr>
          <w:b/>
        </w:rPr>
      </w:pPr>
      <w:r>
        <w:t xml:space="preserve">Componente </w:t>
      </w:r>
      <w:r w:rsidRPr="00853ED6">
        <w:rPr>
          <w:color w:val="C00000"/>
        </w:rPr>
        <w:t>Sexto</w:t>
      </w:r>
      <w:r>
        <w:t xml:space="preserve"> </w:t>
      </w:r>
      <w:r w:rsidR="0056564E" w:rsidRPr="00605095">
        <w:rPr>
          <w:b/>
        </w:rPr>
        <w:t>TRANSPARENCIA Y ACCESO A LA INFORMACIÓN</w:t>
      </w:r>
    </w:p>
    <w:p w:rsidR="00605095" w:rsidRDefault="00605095" w:rsidP="0062363C">
      <w:pPr>
        <w:jc w:val="both"/>
      </w:pPr>
      <w:r w:rsidRPr="00605095">
        <w:t>Este componente recoge los lineamientos para la garantía del derecho fundamental de acceso a la información pública, según la cual toda persona puede acceder a la información pública en posesión o bajo el control de los sujetos obligados de</w:t>
      </w:r>
      <w:r>
        <w:t xml:space="preserve"> la </w:t>
      </w:r>
      <w:r w:rsidRPr="00605095">
        <w:t xml:space="preserve"> ley</w:t>
      </w:r>
      <w:r>
        <w:t>, excepto la información y los documentos considerados como legalmente reservados.</w:t>
      </w:r>
    </w:p>
    <w:p w:rsidR="00853ED6" w:rsidRDefault="00605095" w:rsidP="0062363C">
      <w:pPr>
        <w:jc w:val="both"/>
      </w:pPr>
      <w:r>
        <w:t xml:space="preserve"> Aquí en este Componente</w:t>
      </w:r>
      <w:r w:rsidR="00853ED6">
        <w:t xml:space="preserve"> se mantienen cinco (5) Subcomponentes a saber:</w:t>
      </w:r>
    </w:p>
    <w:p w:rsidR="00853ED6" w:rsidRDefault="00853ED6" w:rsidP="0062363C">
      <w:pPr>
        <w:jc w:val="both"/>
      </w:pPr>
    </w:p>
    <w:p w:rsidR="00853ED6" w:rsidRDefault="00853ED6" w:rsidP="0062363C">
      <w:pPr>
        <w:jc w:val="both"/>
      </w:pPr>
      <w:r w:rsidRPr="0036582D">
        <w:rPr>
          <w:b/>
        </w:rPr>
        <w:t>Subcomponente Lineamientos de Transparencia</w:t>
      </w:r>
      <w:r>
        <w:t xml:space="preserve"> </w:t>
      </w:r>
      <w:r w:rsidRPr="0036582D">
        <w:rPr>
          <w:b/>
        </w:rPr>
        <w:t>Activa</w:t>
      </w:r>
      <w:r>
        <w:t xml:space="preserve"> donde mantiene una actividad</w:t>
      </w:r>
    </w:p>
    <w:p w:rsidR="00853ED6" w:rsidRDefault="00853ED6" w:rsidP="0062363C">
      <w:pPr>
        <w:jc w:val="both"/>
        <w:rPr>
          <w:rFonts w:ascii="Calibri" w:eastAsia="Times New Roman" w:hAnsi="Calibri" w:cs="Calibri"/>
          <w:sz w:val="20"/>
          <w:szCs w:val="20"/>
          <w:lang w:eastAsia="es-CO"/>
        </w:rPr>
      </w:pPr>
      <w:r w:rsidRPr="00853ED6">
        <w:rPr>
          <w:rFonts w:ascii="Calibri" w:eastAsia="Times New Roman" w:hAnsi="Calibri" w:cs="Calibri"/>
          <w:sz w:val="20"/>
          <w:szCs w:val="20"/>
          <w:lang w:eastAsia="es-CO"/>
        </w:rPr>
        <w:t>Actualizar la información correspondiente a la Ley de Transparencia Artículos 9 y 10.</w:t>
      </w:r>
    </w:p>
    <w:p w:rsidR="00853ED6" w:rsidRDefault="00853ED6" w:rsidP="0062363C">
      <w:pPr>
        <w:jc w:val="both"/>
        <w:rPr>
          <w:rFonts w:ascii="Calibri" w:eastAsia="Times New Roman" w:hAnsi="Calibri" w:cs="Calibri"/>
          <w:sz w:val="20"/>
          <w:szCs w:val="20"/>
          <w:lang w:eastAsia="es-CO"/>
        </w:rPr>
      </w:pPr>
    </w:p>
    <w:p w:rsidR="00853ED6" w:rsidRPr="004A4580" w:rsidRDefault="00853ED6" w:rsidP="0062363C">
      <w:pPr>
        <w:jc w:val="both"/>
        <w:rPr>
          <w:rFonts w:ascii="Calibri" w:eastAsia="Times New Roman" w:hAnsi="Calibri" w:cs="Calibri"/>
          <w:sz w:val="20"/>
          <w:szCs w:val="20"/>
          <w:lang w:eastAsia="es-CO"/>
        </w:rPr>
      </w:pPr>
      <w:r w:rsidRPr="0036582D">
        <w:rPr>
          <w:rFonts w:ascii="Calibri" w:eastAsia="Times New Roman" w:hAnsi="Calibri" w:cs="Calibri"/>
          <w:b/>
          <w:sz w:val="20"/>
          <w:szCs w:val="20"/>
          <w:lang w:eastAsia="es-CO"/>
        </w:rPr>
        <w:t>Subcomponente Lineamientos de Transparencia pasiva</w:t>
      </w:r>
      <w:r w:rsidRPr="004A4580">
        <w:rPr>
          <w:rFonts w:ascii="Calibri" w:eastAsia="Times New Roman" w:hAnsi="Calibri" w:cs="Calibri"/>
          <w:sz w:val="20"/>
          <w:szCs w:val="20"/>
          <w:lang w:eastAsia="es-CO"/>
        </w:rPr>
        <w:t xml:space="preserve"> y mantiene una actividad</w:t>
      </w:r>
    </w:p>
    <w:p w:rsidR="00853ED6" w:rsidRPr="00853ED6" w:rsidRDefault="00853ED6" w:rsidP="0062363C">
      <w:pPr>
        <w:jc w:val="both"/>
        <w:rPr>
          <w:rFonts w:ascii="Calibri" w:eastAsia="Times New Roman" w:hAnsi="Calibri" w:cs="Calibri"/>
          <w:sz w:val="20"/>
          <w:szCs w:val="20"/>
          <w:lang w:eastAsia="es-CO"/>
        </w:rPr>
      </w:pPr>
      <w:r w:rsidRPr="00853ED6">
        <w:rPr>
          <w:rFonts w:ascii="Calibri" w:eastAsia="Times New Roman" w:hAnsi="Calibri" w:cs="Calibri"/>
          <w:sz w:val="20"/>
          <w:szCs w:val="20"/>
          <w:lang w:eastAsia="es-CO"/>
        </w:rPr>
        <w:t>Realizar reporte del seguimiento hecho a la gestión interna de las PQRS.</w:t>
      </w:r>
    </w:p>
    <w:p w:rsidR="00853ED6" w:rsidRDefault="00853ED6" w:rsidP="0062363C">
      <w:pPr>
        <w:jc w:val="both"/>
        <w:rPr>
          <w:rFonts w:ascii="Calibri" w:eastAsia="Times New Roman" w:hAnsi="Calibri" w:cs="Calibri"/>
          <w:sz w:val="20"/>
          <w:szCs w:val="20"/>
          <w:lang w:eastAsia="es-CO"/>
        </w:rPr>
      </w:pPr>
    </w:p>
    <w:p w:rsidR="00853ED6" w:rsidRPr="004A4580" w:rsidRDefault="00853ED6" w:rsidP="0062363C">
      <w:pPr>
        <w:jc w:val="both"/>
        <w:rPr>
          <w:rFonts w:ascii="Calibri" w:eastAsia="Times New Roman" w:hAnsi="Calibri" w:cs="Calibri"/>
          <w:sz w:val="20"/>
          <w:szCs w:val="20"/>
          <w:lang w:eastAsia="es-CO"/>
        </w:rPr>
      </w:pPr>
      <w:r w:rsidRPr="0036582D">
        <w:rPr>
          <w:rFonts w:ascii="Calibri" w:eastAsia="Times New Roman" w:hAnsi="Calibri" w:cs="Calibri"/>
          <w:b/>
          <w:sz w:val="20"/>
          <w:szCs w:val="20"/>
          <w:lang w:eastAsia="es-CO"/>
        </w:rPr>
        <w:t xml:space="preserve">Subcomponente </w:t>
      </w:r>
      <w:r w:rsidR="00330CD2" w:rsidRPr="0036582D">
        <w:rPr>
          <w:rFonts w:ascii="Calibri" w:eastAsia="Times New Roman" w:hAnsi="Calibri" w:cs="Calibri"/>
          <w:b/>
          <w:sz w:val="20"/>
          <w:szCs w:val="20"/>
          <w:lang w:eastAsia="es-CO"/>
        </w:rPr>
        <w:t>Elaboración</w:t>
      </w:r>
      <w:r w:rsidRPr="0036582D">
        <w:rPr>
          <w:rFonts w:ascii="Calibri" w:eastAsia="Times New Roman" w:hAnsi="Calibri" w:cs="Calibri"/>
          <w:b/>
          <w:sz w:val="20"/>
          <w:szCs w:val="20"/>
          <w:lang w:eastAsia="es-CO"/>
        </w:rPr>
        <w:t xml:space="preserve"> de los instrumentos de </w:t>
      </w:r>
      <w:r w:rsidR="00330CD2" w:rsidRPr="0036582D">
        <w:rPr>
          <w:rFonts w:ascii="Calibri" w:eastAsia="Times New Roman" w:hAnsi="Calibri" w:cs="Calibri"/>
          <w:b/>
          <w:sz w:val="20"/>
          <w:szCs w:val="20"/>
          <w:lang w:eastAsia="es-CO"/>
        </w:rPr>
        <w:t>Gestión</w:t>
      </w:r>
      <w:r w:rsidRPr="0036582D">
        <w:rPr>
          <w:rFonts w:ascii="Calibri" w:eastAsia="Times New Roman" w:hAnsi="Calibri" w:cs="Calibri"/>
          <w:b/>
          <w:sz w:val="20"/>
          <w:szCs w:val="20"/>
          <w:lang w:eastAsia="es-CO"/>
        </w:rPr>
        <w:t xml:space="preserve"> de la </w:t>
      </w:r>
      <w:r w:rsidR="00330CD2" w:rsidRPr="0036582D">
        <w:rPr>
          <w:rFonts w:ascii="Calibri" w:eastAsia="Times New Roman" w:hAnsi="Calibri" w:cs="Calibri"/>
          <w:b/>
          <w:sz w:val="20"/>
          <w:szCs w:val="20"/>
          <w:lang w:eastAsia="es-CO"/>
        </w:rPr>
        <w:t>Información</w:t>
      </w:r>
      <w:r w:rsidRPr="004A4580">
        <w:rPr>
          <w:rFonts w:ascii="Calibri" w:eastAsia="Times New Roman" w:hAnsi="Calibri" w:cs="Calibri"/>
          <w:sz w:val="20"/>
          <w:szCs w:val="20"/>
          <w:lang w:eastAsia="es-CO"/>
        </w:rPr>
        <w:t xml:space="preserve"> cuya actividad principal es</w:t>
      </w:r>
    </w:p>
    <w:p w:rsidR="00853ED6" w:rsidRPr="00853ED6" w:rsidRDefault="00853ED6" w:rsidP="0062363C">
      <w:pPr>
        <w:jc w:val="both"/>
        <w:rPr>
          <w:rFonts w:ascii="Calibri" w:eastAsia="Times New Roman" w:hAnsi="Calibri" w:cs="Calibri"/>
          <w:sz w:val="20"/>
          <w:szCs w:val="20"/>
          <w:lang w:eastAsia="es-CO"/>
        </w:rPr>
      </w:pPr>
      <w:r w:rsidRPr="00853ED6">
        <w:rPr>
          <w:rFonts w:ascii="Calibri" w:eastAsia="Times New Roman" w:hAnsi="Calibri" w:cs="Calibri"/>
          <w:sz w:val="20"/>
          <w:szCs w:val="20"/>
          <w:lang w:eastAsia="es-CO"/>
        </w:rPr>
        <w:t>Revisar y actualizar de ser necesario el</w:t>
      </w:r>
      <w:r w:rsidRPr="00853ED6">
        <w:rPr>
          <w:rFonts w:ascii="Calibri" w:eastAsia="Times New Roman" w:hAnsi="Calibri" w:cs="Calibri"/>
          <w:sz w:val="20"/>
          <w:szCs w:val="20"/>
          <w:lang w:eastAsia="es-CO"/>
        </w:rPr>
        <w:br/>
        <w:t>Registro de Activos de Información según los requerimientos GEL</w:t>
      </w:r>
    </w:p>
    <w:p w:rsidR="00853ED6" w:rsidRDefault="00853ED6" w:rsidP="0062363C">
      <w:pPr>
        <w:jc w:val="both"/>
        <w:rPr>
          <w:rFonts w:ascii="Calibri" w:eastAsia="Times New Roman" w:hAnsi="Calibri" w:cs="Calibri"/>
          <w:sz w:val="20"/>
          <w:szCs w:val="20"/>
          <w:lang w:eastAsia="es-CO"/>
        </w:rPr>
      </w:pPr>
    </w:p>
    <w:p w:rsidR="00853ED6" w:rsidRPr="004A4580" w:rsidRDefault="005341E6" w:rsidP="0062363C">
      <w:pPr>
        <w:jc w:val="both"/>
        <w:rPr>
          <w:rFonts w:ascii="Calibri" w:eastAsia="Times New Roman" w:hAnsi="Calibri" w:cs="Calibri"/>
          <w:sz w:val="20"/>
          <w:szCs w:val="20"/>
          <w:lang w:eastAsia="es-CO"/>
        </w:rPr>
      </w:pPr>
      <w:r w:rsidRPr="0036582D">
        <w:rPr>
          <w:rFonts w:ascii="Calibri" w:eastAsia="Times New Roman" w:hAnsi="Calibri" w:cs="Calibri"/>
          <w:b/>
          <w:sz w:val="20"/>
          <w:szCs w:val="20"/>
          <w:lang w:eastAsia="es-CO"/>
        </w:rPr>
        <w:t>Subcomponente Criterio diferencial de accesibilidad</w:t>
      </w:r>
      <w:r w:rsidRPr="004A4580">
        <w:rPr>
          <w:rFonts w:ascii="Calibri" w:eastAsia="Times New Roman" w:hAnsi="Calibri" w:cs="Calibri"/>
          <w:sz w:val="20"/>
          <w:szCs w:val="20"/>
          <w:lang w:eastAsia="es-CO"/>
        </w:rPr>
        <w:t xml:space="preserve"> mantienen una actividad principal</w:t>
      </w:r>
    </w:p>
    <w:p w:rsidR="005341E6" w:rsidRPr="005341E6" w:rsidRDefault="005341E6" w:rsidP="0062363C">
      <w:pPr>
        <w:jc w:val="both"/>
        <w:rPr>
          <w:rFonts w:ascii="Calibri" w:eastAsia="Times New Roman" w:hAnsi="Calibri" w:cs="Calibri"/>
          <w:color w:val="000000"/>
          <w:sz w:val="20"/>
          <w:szCs w:val="20"/>
          <w:lang w:eastAsia="es-CO"/>
        </w:rPr>
      </w:pPr>
      <w:r w:rsidRPr="005341E6">
        <w:rPr>
          <w:rFonts w:ascii="Calibri" w:eastAsia="Times New Roman" w:hAnsi="Calibri" w:cs="Calibri"/>
          <w:color w:val="000000"/>
          <w:sz w:val="20"/>
          <w:szCs w:val="20"/>
          <w:lang w:eastAsia="es-CO"/>
        </w:rPr>
        <w:t>Realizar revisión de la web institucional en materia de accesibilidad</w:t>
      </w:r>
    </w:p>
    <w:p w:rsidR="005341E6" w:rsidRPr="00853ED6" w:rsidRDefault="005341E6" w:rsidP="0062363C">
      <w:pPr>
        <w:jc w:val="both"/>
        <w:rPr>
          <w:rFonts w:ascii="Calibri" w:eastAsia="Times New Roman" w:hAnsi="Calibri" w:cs="Calibri"/>
          <w:sz w:val="20"/>
          <w:szCs w:val="20"/>
          <w:lang w:eastAsia="es-CO"/>
        </w:rPr>
      </w:pPr>
    </w:p>
    <w:p w:rsidR="0095344E" w:rsidRDefault="005341E6" w:rsidP="0062363C">
      <w:pPr>
        <w:jc w:val="both"/>
        <w:rPr>
          <w:rFonts w:ascii="Calibri" w:eastAsia="Times New Roman" w:hAnsi="Calibri" w:cs="Calibri"/>
          <w:sz w:val="20"/>
          <w:szCs w:val="20"/>
          <w:lang w:eastAsia="es-CO"/>
        </w:rPr>
      </w:pPr>
      <w:r w:rsidRPr="0036582D">
        <w:rPr>
          <w:b/>
        </w:rPr>
        <w:lastRenderedPageBreak/>
        <w:t>Subcomponente Monitoreo del acceso a la información pública</w:t>
      </w:r>
      <w:r>
        <w:t xml:space="preserve"> cuya actividad principal es</w:t>
      </w:r>
      <w:r w:rsidR="0036582D">
        <w:t xml:space="preserve">: </w:t>
      </w:r>
      <w:r w:rsidRPr="0036582D">
        <w:rPr>
          <w:rFonts w:ascii="Calibri" w:eastAsia="Times New Roman" w:hAnsi="Calibri" w:cs="Calibri"/>
          <w:color w:val="000000"/>
          <w:sz w:val="20"/>
          <w:szCs w:val="20"/>
          <w:lang w:eastAsia="es-CO"/>
        </w:rPr>
        <w:t>Generar informe de solicitudes de acceso a la información publicado en la página web del Instituto.</w:t>
      </w:r>
      <w:r w:rsidR="0095344E" w:rsidRPr="0095344E">
        <w:rPr>
          <w:rFonts w:ascii="Calibri" w:eastAsia="Times New Roman" w:hAnsi="Calibri" w:cs="Calibri"/>
          <w:sz w:val="20"/>
          <w:szCs w:val="20"/>
          <w:lang w:eastAsia="es-CO"/>
        </w:rPr>
        <w:t xml:space="preserve">                                        </w:t>
      </w:r>
    </w:p>
    <w:p w:rsidR="0095344E" w:rsidRDefault="0095344E" w:rsidP="0062363C">
      <w:pPr>
        <w:jc w:val="both"/>
        <w:rPr>
          <w:rFonts w:ascii="Calibri" w:eastAsia="Times New Roman" w:hAnsi="Calibri" w:cs="Calibri"/>
          <w:b/>
          <w:bCs/>
          <w:sz w:val="20"/>
          <w:szCs w:val="20"/>
          <w:lang w:eastAsia="es-CO"/>
        </w:rPr>
      </w:pPr>
      <w:r w:rsidRPr="0095344E">
        <w:rPr>
          <w:rFonts w:ascii="Calibri" w:eastAsia="Times New Roman" w:hAnsi="Calibri" w:cs="Calibri"/>
          <w:b/>
          <w:bCs/>
          <w:sz w:val="20"/>
          <w:szCs w:val="20"/>
          <w:lang w:eastAsia="es-CO"/>
        </w:rPr>
        <w:t xml:space="preserve">                                                                             </w:t>
      </w:r>
    </w:p>
    <w:p w:rsidR="0095344E" w:rsidRDefault="0095344E" w:rsidP="0062363C">
      <w:pPr>
        <w:jc w:val="both"/>
        <w:rPr>
          <w:rFonts w:ascii="Calibri" w:eastAsia="Times New Roman" w:hAnsi="Calibri" w:cs="Calibri"/>
          <w:b/>
          <w:bCs/>
          <w:color w:val="000000"/>
          <w:sz w:val="20"/>
          <w:szCs w:val="20"/>
          <w:lang w:eastAsia="es-CO"/>
        </w:rPr>
      </w:pPr>
      <w:r w:rsidRPr="0095344E">
        <w:rPr>
          <w:rFonts w:ascii="Calibri" w:eastAsia="Times New Roman" w:hAnsi="Calibri" w:cs="Calibri"/>
          <w:b/>
          <w:bCs/>
          <w:color w:val="000000"/>
          <w:sz w:val="20"/>
          <w:szCs w:val="20"/>
          <w:lang w:eastAsia="es-CO"/>
        </w:rPr>
        <w:t xml:space="preserve">                                                              </w:t>
      </w:r>
    </w:p>
    <w:p w:rsidR="0095344E" w:rsidRDefault="0095344E" w:rsidP="0062363C">
      <w:pPr>
        <w:jc w:val="both"/>
        <w:rPr>
          <w:rFonts w:ascii="Calibri" w:eastAsia="Times New Roman" w:hAnsi="Calibri" w:cs="Calibri"/>
          <w:color w:val="000000"/>
          <w:sz w:val="20"/>
          <w:szCs w:val="20"/>
          <w:lang w:eastAsia="es-CO"/>
        </w:rPr>
      </w:pPr>
      <w:r w:rsidRPr="0095344E">
        <w:rPr>
          <w:rFonts w:ascii="Calibri" w:eastAsia="Times New Roman" w:hAnsi="Calibri" w:cs="Calibri"/>
          <w:b/>
          <w:bCs/>
          <w:color w:val="000000"/>
          <w:sz w:val="20"/>
          <w:szCs w:val="20"/>
          <w:lang w:eastAsia="es-CO"/>
        </w:rPr>
        <w:t xml:space="preserve">                                                                     </w:t>
      </w:r>
      <w:r w:rsidRPr="0095344E">
        <w:rPr>
          <w:rFonts w:ascii="Calibri" w:eastAsia="Times New Roman" w:hAnsi="Calibri" w:cs="Calibri"/>
          <w:color w:val="000000"/>
          <w:sz w:val="20"/>
          <w:szCs w:val="20"/>
          <w:lang w:eastAsia="es-CO"/>
        </w:rPr>
        <w:t xml:space="preserve">  </w:t>
      </w:r>
    </w:p>
    <w:p w:rsidR="0095344E" w:rsidRDefault="0095344E" w:rsidP="0062363C">
      <w:pPr>
        <w:jc w:val="both"/>
        <w:rPr>
          <w:rFonts w:ascii="Calibri" w:eastAsia="Times New Roman" w:hAnsi="Calibri" w:cs="Calibri"/>
          <w:sz w:val="20"/>
          <w:szCs w:val="20"/>
          <w:lang w:eastAsia="es-CO"/>
        </w:rPr>
      </w:pPr>
      <w:r w:rsidRPr="0095344E">
        <w:rPr>
          <w:rFonts w:ascii="Calibri" w:eastAsia="Times New Roman" w:hAnsi="Calibri" w:cs="Calibri"/>
          <w:b/>
          <w:bCs/>
          <w:sz w:val="20"/>
          <w:szCs w:val="20"/>
          <w:lang w:eastAsia="es-CO"/>
        </w:rPr>
        <w:t xml:space="preserve">                                                         </w:t>
      </w:r>
      <w:r w:rsidRPr="0095344E">
        <w:rPr>
          <w:rFonts w:ascii="Calibri" w:eastAsia="Times New Roman" w:hAnsi="Calibri" w:cs="Calibri"/>
          <w:sz w:val="20"/>
          <w:szCs w:val="20"/>
          <w:lang w:eastAsia="es-CO"/>
        </w:rPr>
        <w:t xml:space="preserve">  </w:t>
      </w:r>
    </w:p>
    <w:p w:rsidR="003A4198" w:rsidRPr="00D30F60" w:rsidRDefault="003A4198" w:rsidP="0062363C">
      <w:pPr>
        <w:jc w:val="both"/>
        <w:rPr>
          <w:b/>
        </w:rPr>
      </w:pPr>
      <w:r w:rsidRPr="00D30F60">
        <w:rPr>
          <w:b/>
        </w:rPr>
        <w:t>NORMATIVIDAD</w:t>
      </w:r>
    </w:p>
    <w:p w:rsidR="003B09F1" w:rsidRDefault="003B09F1" w:rsidP="0062363C">
      <w:pPr>
        <w:jc w:val="both"/>
      </w:pPr>
      <w:r>
        <w:t xml:space="preserve">- Ley 1474  del 12 de Julio de 2011, </w:t>
      </w:r>
      <w:r w:rsidR="00C62749">
        <w:t>“</w:t>
      </w:r>
      <w:r>
        <w:t>Por la cual se dictan normas orientadas a fortalecer los mecanismos de prevención, investigación y sanción de actos de corrupción y la efectividad del control de la gestión Pública</w:t>
      </w:r>
      <w:r w:rsidR="00C62749">
        <w:t>”</w:t>
      </w:r>
      <w:r>
        <w:t>.</w:t>
      </w:r>
    </w:p>
    <w:p w:rsidR="003B09F1" w:rsidRDefault="003B09F1" w:rsidP="0062363C">
      <w:pPr>
        <w:jc w:val="both"/>
      </w:pPr>
      <w:r>
        <w:t xml:space="preserve">- Ley 1712 del 6 de marzo de 2014 </w:t>
      </w:r>
      <w:r w:rsidR="00C62749">
        <w:t>“</w:t>
      </w:r>
      <w:r>
        <w:t>Por medio de la cual se crea la ley de transparencia y del derecho de acceso a la información pública Nacional y se dictan otras disposiciones</w:t>
      </w:r>
      <w:r w:rsidR="00C62749">
        <w:t>”</w:t>
      </w:r>
    </w:p>
    <w:p w:rsidR="003B09F1" w:rsidRDefault="003B09F1" w:rsidP="0062363C">
      <w:pPr>
        <w:jc w:val="both"/>
      </w:pPr>
      <w:r>
        <w:t xml:space="preserve">- Decreto 2641 del 17 de Diciembre de 2012, </w:t>
      </w:r>
      <w:r w:rsidR="00C62749">
        <w:t>“</w:t>
      </w:r>
      <w:r>
        <w:t>Por el cual se reglamentan los artículos 73 y 76 de la Ley 1474 de 2011</w:t>
      </w:r>
      <w:r w:rsidR="00C62749">
        <w:t>”</w:t>
      </w:r>
      <w:r>
        <w:t>.</w:t>
      </w:r>
    </w:p>
    <w:p w:rsidR="003B09F1" w:rsidRDefault="003B09F1" w:rsidP="0062363C">
      <w:pPr>
        <w:jc w:val="both"/>
      </w:pPr>
      <w:r>
        <w:t>- Decreto 1081 del 26 de Mayo de 2015</w:t>
      </w:r>
      <w:r w:rsidR="002B2E97">
        <w:t xml:space="preserve">, </w:t>
      </w:r>
      <w:r w:rsidR="00C62749">
        <w:t>“</w:t>
      </w:r>
      <w:r w:rsidR="002B2E97">
        <w:t>Por medio del cual se expide el Decreto Reglamentario Único del Sector de la Presidencia de la República, Articulo 2.14.1 y subsiguientes que señalan como metodología para elaborar la estrategia de lucha contra la corrupción la contenida en el documento Estrategias para la construcción del Plan Anticorrupción y de Atención al Ciudadano</w:t>
      </w:r>
      <w:r w:rsidR="00C62749">
        <w:t>”</w:t>
      </w:r>
    </w:p>
    <w:p w:rsidR="00D142BD" w:rsidRDefault="00D142BD" w:rsidP="0062363C">
      <w:pPr>
        <w:jc w:val="both"/>
      </w:pPr>
      <w:r>
        <w:t xml:space="preserve">Decreto 1649 de 2014 </w:t>
      </w:r>
      <w:r w:rsidR="006A2227">
        <w:t xml:space="preserve">artículos 55 y 15 </w:t>
      </w:r>
      <w:r w:rsidR="00C62749">
        <w:t>“P</w:t>
      </w:r>
      <w:r w:rsidR="006A2227">
        <w:t>or el cual se modifica la estructura del Departamento Administrativo de la Presidencia de la República.</w:t>
      </w:r>
      <w:r w:rsidR="00C62749">
        <w:t>”</w:t>
      </w:r>
    </w:p>
    <w:p w:rsidR="006A2227" w:rsidRDefault="006A2227" w:rsidP="0062363C">
      <w:pPr>
        <w:jc w:val="both"/>
      </w:pPr>
      <w:r>
        <w:t xml:space="preserve">Decreto 4637 de 2011 artículos 4 y 2 </w:t>
      </w:r>
      <w:r w:rsidR="00C62749">
        <w:t>“P</w:t>
      </w:r>
      <w:r>
        <w:t>or el cual se suprime y se crea una secretaria y suprime un programa en el Departamento Administrativo de la Presidencia de la República</w:t>
      </w:r>
      <w:r w:rsidR="00C62749">
        <w:t>”</w:t>
      </w:r>
      <w:r>
        <w:t>.</w:t>
      </w:r>
    </w:p>
    <w:p w:rsidR="002B2E97" w:rsidRDefault="002B2E97" w:rsidP="0062363C">
      <w:pPr>
        <w:jc w:val="both"/>
      </w:pPr>
      <w:r>
        <w:t xml:space="preserve">- Decreto 124 del 26 de Enero de 2016, </w:t>
      </w:r>
      <w:r w:rsidR="00C62749">
        <w:t>“</w:t>
      </w:r>
      <w:r>
        <w:t>Por el cual se sustituye el título 4 de la parte 1 del libro 2 del decreto 1081 de 2015, relativo al Plan Anticorrupción y de Atención al Ciudadano</w:t>
      </w:r>
      <w:r w:rsidR="00C62749">
        <w:t>”</w:t>
      </w:r>
      <w:r>
        <w:t>.</w:t>
      </w:r>
    </w:p>
    <w:p w:rsidR="002B2E97" w:rsidRDefault="002B2E97" w:rsidP="0062363C">
      <w:pPr>
        <w:jc w:val="both"/>
      </w:pPr>
      <w:r>
        <w:t>- Circular externa número 100-02-2016 del 27 de Enero de 2016 del Departamento Administrativo de la Presidencia de la República, Departamento Nacional de Planeación y Departamento Administrativo de la Función Pública.</w:t>
      </w:r>
    </w:p>
    <w:p w:rsidR="002B2E97" w:rsidRDefault="002B2E97" w:rsidP="0062363C">
      <w:pPr>
        <w:jc w:val="both"/>
      </w:pPr>
      <w:r>
        <w:t xml:space="preserve">- </w:t>
      </w:r>
      <w:r w:rsidR="006A2227">
        <w:t>Metodología  Plan Anticorrupción y de Atención al ciudadano Departamento Administrativo de la Función Pública</w:t>
      </w:r>
      <w:r w:rsidR="007D2E9B">
        <w:t xml:space="preserve"> DAFP.</w:t>
      </w:r>
      <w:r>
        <w:t xml:space="preserve"> </w:t>
      </w:r>
    </w:p>
    <w:p w:rsidR="00F74B08" w:rsidRDefault="00F74B08" w:rsidP="0062363C">
      <w:pPr>
        <w:jc w:val="both"/>
      </w:pPr>
    </w:p>
    <w:p w:rsidR="00CF62A9" w:rsidRDefault="00CF62A9" w:rsidP="0062363C">
      <w:pPr>
        <w:jc w:val="both"/>
      </w:pPr>
    </w:p>
    <w:p w:rsidR="003A4198" w:rsidRPr="00D30F60" w:rsidRDefault="003A4198" w:rsidP="0062363C">
      <w:pPr>
        <w:jc w:val="both"/>
        <w:rPr>
          <w:b/>
        </w:rPr>
      </w:pPr>
      <w:r w:rsidRPr="00D30F60">
        <w:rPr>
          <w:b/>
        </w:rPr>
        <w:lastRenderedPageBreak/>
        <w:t>METODOLOGIA</w:t>
      </w:r>
    </w:p>
    <w:p w:rsidR="0062363C" w:rsidRDefault="0062363C" w:rsidP="0062363C">
      <w:pPr>
        <w:jc w:val="both"/>
      </w:pPr>
      <w:r>
        <w:t>Para el Desarrollo del presente informe  se aplicó la siguiente metodología:</w:t>
      </w:r>
    </w:p>
    <w:p w:rsidR="0062363C" w:rsidRDefault="0062363C" w:rsidP="0062363C">
      <w:pPr>
        <w:pStyle w:val="Prrafodelista"/>
        <w:numPr>
          <w:ilvl w:val="0"/>
          <w:numId w:val="6"/>
        </w:numPr>
        <w:jc w:val="both"/>
      </w:pPr>
      <w:r>
        <w:t xml:space="preserve">Solicitud de información a las diferentes Dependencias del Instituto </w:t>
      </w:r>
      <w:r w:rsidR="00E101C9">
        <w:t>de Hidrología Meteorología y Estudios Ambientales IDEAM</w:t>
      </w:r>
    </w:p>
    <w:p w:rsidR="0062363C" w:rsidRDefault="003C5706" w:rsidP="0062363C">
      <w:pPr>
        <w:pStyle w:val="Prrafodelista"/>
        <w:numPr>
          <w:ilvl w:val="0"/>
          <w:numId w:val="6"/>
        </w:numPr>
        <w:jc w:val="both"/>
      </w:pPr>
      <w:r>
        <w:t>Entrevistas con los funcionarios responsables de los diferentes temas</w:t>
      </w:r>
      <w:r w:rsidR="00E101C9">
        <w:t xml:space="preserve"> en el Instituto</w:t>
      </w:r>
    </w:p>
    <w:p w:rsidR="003C5706" w:rsidRDefault="003C5706" w:rsidP="0062363C">
      <w:pPr>
        <w:pStyle w:val="Prrafodelista"/>
        <w:numPr>
          <w:ilvl w:val="0"/>
          <w:numId w:val="6"/>
        </w:numPr>
        <w:jc w:val="both"/>
      </w:pPr>
      <w:r>
        <w:t xml:space="preserve">Revisión de página web del Instituto </w:t>
      </w:r>
      <w:r w:rsidR="00E101C9">
        <w:t xml:space="preserve"> de Hidrología, Meteorología y Estudios Ambientales IDEAM</w:t>
      </w:r>
    </w:p>
    <w:p w:rsidR="003A4198" w:rsidRDefault="004A63BB" w:rsidP="0062363C">
      <w:pPr>
        <w:pStyle w:val="Prrafodelista"/>
        <w:numPr>
          <w:ilvl w:val="0"/>
          <w:numId w:val="6"/>
        </w:numPr>
        <w:jc w:val="both"/>
      </w:pPr>
      <w:r>
        <w:t xml:space="preserve">Revisión correo </w:t>
      </w:r>
      <w:proofErr w:type="spellStart"/>
      <w:r>
        <w:t>Zimbra</w:t>
      </w:r>
      <w:proofErr w:type="spellEnd"/>
      <w:r>
        <w:t xml:space="preserve"> IDEAM</w:t>
      </w:r>
      <w:r w:rsidR="00E101C9">
        <w:t>.</w:t>
      </w:r>
    </w:p>
    <w:p w:rsidR="003A4198" w:rsidRDefault="003A4198" w:rsidP="0062363C">
      <w:pPr>
        <w:jc w:val="both"/>
      </w:pPr>
    </w:p>
    <w:p w:rsidR="003A4198" w:rsidRPr="00042C1C" w:rsidRDefault="003A4198" w:rsidP="00E447A2">
      <w:pPr>
        <w:jc w:val="both"/>
        <w:rPr>
          <w:b/>
        </w:rPr>
      </w:pPr>
      <w:r w:rsidRPr="00042C1C">
        <w:rPr>
          <w:b/>
        </w:rPr>
        <w:t xml:space="preserve">ANALISIS OBSERVACIONES Y RECOMENDACIONES </w:t>
      </w:r>
    </w:p>
    <w:p w:rsidR="00CF62A9" w:rsidRDefault="009C2C86" w:rsidP="00E447A2">
      <w:pPr>
        <w:jc w:val="both"/>
      </w:pPr>
      <w:r>
        <w:t>Conforme a lo establecido en el Decreto 2641 de 2012 y Decreto 124 de 2016, el Instituto de Hidrología, Meteorología y Estudios Ambientales a través del liderazgo del grupo de trabajo de la Oficina Asesora de Planeación, elaboró y publicó su Plan Anticorrupción 2017,</w:t>
      </w:r>
      <w:r w:rsidR="00C62749">
        <w:t xml:space="preserve"> según el siguiente link </w:t>
      </w:r>
      <w:hyperlink r:id="rId6" w:history="1">
        <w:r w:rsidR="00C62749" w:rsidRPr="002A3993">
          <w:rPr>
            <w:rStyle w:val="Hipervnculo"/>
          </w:rPr>
          <w:t>https://goo.gl/wRGhkU</w:t>
        </w:r>
      </w:hyperlink>
      <w:r w:rsidR="00C62749">
        <w:t xml:space="preserve">, </w:t>
      </w:r>
      <w:r>
        <w:t>contemplando los lineamientos definidos a este respecto en el documento denominado Estrategias para la Construcción del Plan Anticorrup</w:t>
      </w:r>
      <w:r w:rsidR="00C62749">
        <w:t>ción y de Atención al Ciudadano, publicada por el Departamento Administra</w:t>
      </w:r>
      <w:r w:rsidR="00042C1C">
        <w:t>tivo de la Función Pública DAFP.</w:t>
      </w:r>
    </w:p>
    <w:p w:rsidR="009C2C86" w:rsidRDefault="009C2C86" w:rsidP="00E447A2">
      <w:pPr>
        <w:jc w:val="both"/>
      </w:pPr>
      <w:r>
        <w:t xml:space="preserve">Es así como se definieron actividades </w:t>
      </w:r>
      <w:r w:rsidR="0079387A">
        <w:t>específicas</w:t>
      </w:r>
      <w:r>
        <w:t xml:space="preserve"> para cada uno de los se</w:t>
      </w:r>
      <w:r w:rsidR="0079387A">
        <w:t>i</w:t>
      </w:r>
      <w:r>
        <w:t xml:space="preserve">s (6) componentes </w:t>
      </w:r>
      <w:r w:rsidR="00C62749">
        <w:t xml:space="preserve"> </w:t>
      </w:r>
      <w:r w:rsidR="001430FE">
        <w:t xml:space="preserve">del mencionado Plan; </w:t>
      </w:r>
      <w:r>
        <w:t>establecidos</w:t>
      </w:r>
      <w:r w:rsidR="0079387A">
        <w:t>, con sus correspondientes metas, responsables y fechas programadas</w:t>
      </w:r>
      <w:r w:rsidR="00A838F8">
        <w:t>.</w:t>
      </w:r>
    </w:p>
    <w:p w:rsidR="0056564E" w:rsidRDefault="0056564E" w:rsidP="00E447A2">
      <w:pPr>
        <w:jc w:val="both"/>
      </w:pPr>
      <w:r>
        <w:t>Se debe continuar ejerciendo el seguimiento al Plan Anticorrupción y Atención al ciudadano en todas las áreas y dependencias del  Instituto a fin de que se  pueda dar cumplimiento a  lo contemplado en  las leyes, decretos  y las normas  que rigen  la materia.</w:t>
      </w:r>
    </w:p>
    <w:p w:rsidR="00254A21" w:rsidRDefault="00254A21" w:rsidP="00352EA1">
      <w:pPr>
        <w:jc w:val="both"/>
      </w:pPr>
      <w:r>
        <w:t xml:space="preserve">Se evidencio el seguimiento realizado por cada uno de los procesos que se encuentran incluidos en el Mapa de Riesgos de Corrupción, la oficina Asesora de Planeación seguirá siendo facilitador y apoyando de forma </w:t>
      </w:r>
      <w:r w:rsidR="005F2C41">
        <w:t>continúa</w:t>
      </w:r>
      <w:r>
        <w:t xml:space="preserve"> la metodología y el empoderamiento por parte de los funcionarios del Instituto.</w:t>
      </w:r>
    </w:p>
    <w:p w:rsidR="007E3ACB" w:rsidRDefault="00254A21" w:rsidP="00352EA1">
      <w:pPr>
        <w:jc w:val="both"/>
      </w:pPr>
      <w:r>
        <w:t>Los líderes de cada proceso deben seguir revisando las causas del riesgo de corrupción identificado con el propósito de evitar la materialización de los mismos.</w:t>
      </w:r>
    </w:p>
    <w:p w:rsidR="001E3ED8" w:rsidRPr="001E3ED8" w:rsidRDefault="001E3ED8" w:rsidP="001E3ED8">
      <w:pPr>
        <w:spacing w:after="0" w:line="240" w:lineRule="auto"/>
        <w:jc w:val="both"/>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 xml:space="preserve"> Se construyó </w:t>
      </w:r>
      <w:r w:rsidRPr="001E3ED8">
        <w:rPr>
          <w:rFonts w:ascii="Calibri" w:eastAsia="Times New Roman" w:hAnsi="Calibri" w:cs="Calibri"/>
          <w:color w:val="000000"/>
          <w:sz w:val="20"/>
          <w:szCs w:val="20"/>
          <w:lang w:eastAsia="es-CO"/>
        </w:rPr>
        <w:t xml:space="preserve">la estrategia de servicio de Atención al ciudadano </w:t>
      </w:r>
      <w:r>
        <w:rPr>
          <w:rFonts w:ascii="Calibri" w:eastAsia="Times New Roman" w:hAnsi="Calibri" w:cs="Calibri"/>
          <w:color w:val="000000"/>
          <w:sz w:val="20"/>
          <w:szCs w:val="20"/>
          <w:lang w:eastAsia="es-CO"/>
        </w:rPr>
        <w:t xml:space="preserve">la cual fue publicada en el siguiente link </w:t>
      </w:r>
      <w:r w:rsidRPr="001E3ED8">
        <w:rPr>
          <w:rFonts w:ascii="Calibri" w:eastAsia="Times New Roman" w:hAnsi="Calibri" w:cs="Calibri"/>
          <w:color w:val="000000"/>
          <w:sz w:val="20"/>
          <w:szCs w:val="20"/>
          <w:lang w:eastAsia="es-CO"/>
        </w:rPr>
        <w:t xml:space="preserve"> </w:t>
      </w:r>
      <w:hyperlink r:id="rId7" w:history="1">
        <w:r w:rsidRPr="008619F3">
          <w:rPr>
            <w:rStyle w:val="Hipervnculo"/>
            <w:rFonts w:ascii="Calibri" w:eastAsia="Times New Roman" w:hAnsi="Calibri" w:cs="Calibri"/>
            <w:sz w:val="20"/>
            <w:szCs w:val="20"/>
            <w:lang w:eastAsia="es-CO"/>
          </w:rPr>
          <w:t>https://goo.gl/jv3HlA</w:t>
        </w:r>
      </w:hyperlink>
      <w:r>
        <w:rPr>
          <w:rFonts w:ascii="Calibri" w:eastAsia="Times New Roman" w:hAnsi="Calibri" w:cs="Calibri"/>
          <w:color w:val="000000"/>
          <w:sz w:val="20"/>
          <w:szCs w:val="20"/>
          <w:lang w:eastAsia="es-CO"/>
        </w:rPr>
        <w:t xml:space="preserve"> </w:t>
      </w:r>
    </w:p>
    <w:p w:rsidR="001E3ED8" w:rsidRDefault="003F02AA" w:rsidP="00352EA1">
      <w:pPr>
        <w:jc w:val="both"/>
      </w:pPr>
      <w:r>
        <w:t>Se publicó</w:t>
      </w:r>
      <w:bookmarkStart w:id="0" w:name="_GoBack"/>
      <w:bookmarkEnd w:id="0"/>
      <w:r>
        <w:t xml:space="preserve"> el informe del primer trimestre de PQRS de la Entidad y se encuentra en el link </w:t>
      </w:r>
      <w:hyperlink r:id="rId8" w:history="1">
        <w:r w:rsidRPr="00A14982">
          <w:rPr>
            <w:rStyle w:val="Hipervnculo"/>
            <w:rFonts w:ascii="Helvetica" w:hAnsi="Helvetica" w:cs="Helvetica"/>
            <w:sz w:val="20"/>
            <w:szCs w:val="20"/>
          </w:rPr>
          <w:t>https://goo.gl/hljCrg</w:t>
        </w:r>
      </w:hyperlink>
      <w:r>
        <w:rPr>
          <w:rFonts w:ascii="Helvetica" w:hAnsi="Helvetica" w:cs="Helvetica"/>
          <w:color w:val="444444"/>
          <w:sz w:val="20"/>
          <w:szCs w:val="20"/>
        </w:rPr>
        <w:t xml:space="preserve"> </w:t>
      </w:r>
    </w:p>
    <w:p w:rsidR="001E1AE5" w:rsidRDefault="001E1AE5" w:rsidP="00352EA1">
      <w:pPr>
        <w:jc w:val="both"/>
        <w:rPr>
          <w:rFonts w:ascii="Arial Narrow" w:eastAsia="Times New Roman" w:hAnsi="Arial Narrow" w:cs="Calibri"/>
          <w:color w:val="000000"/>
          <w:lang w:eastAsia="es-CO"/>
        </w:rPr>
      </w:pPr>
      <w:r>
        <w:rPr>
          <w:rFonts w:ascii="Arial Narrow" w:eastAsia="Times New Roman" w:hAnsi="Arial Narrow" w:cs="Calibri"/>
          <w:color w:val="000000"/>
          <w:lang w:eastAsia="es-CO"/>
        </w:rPr>
        <w:t>Se está trabajando conjuntamente con el Departamento Administrativo de la Función Pública en la estrategia Anti trámites, para el tema de Acreditación de laboratorios Ambientales y autorización de organizaciones, con el propósito de hacer más eficiente dicho trámite.</w:t>
      </w:r>
    </w:p>
    <w:p w:rsidR="001E1AE5" w:rsidRDefault="001E1AE5" w:rsidP="00352EA1">
      <w:pPr>
        <w:jc w:val="both"/>
        <w:rPr>
          <w:rFonts w:ascii="Arial Narrow" w:eastAsia="Times New Roman" w:hAnsi="Arial Narrow" w:cs="Calibri"/>
          <w:color w:val="000000"/>
          <w:lang w:eastAsia="es-CO"/>
        </w:rPr>
      </w:pPr>
    </w:p>
    <w:p w:rsidR="001E1AE5" w:rsidRDefault="001E1AE5" w:rsidP="00352EA1">
      <w:pPr>
        <w:jc w:val="both"/>
        <w:rPr>
          <w:rFonts w:ascii="Arial Narrow" w:eastAsia="Times New Roman" w:hAnsi="Arial Narrow" w:cs="Calibri"/>
          <w:color w:val="000000"/>
          <w:lang w:eastAsia="es-CO"/>
        </w:rPr>
      </w:pPr>
    </w:p>
    <w:p w:rsidR="00C96D0F" w:rsidRDefault="00254A21" w:rsidP="00352EA1">
      <w:pPr>
        <w:jc w:val="both"/>
      </w:pPr>
      <w:r w:rsidRPr="00254A21">
        <w:rPr>
          <w:rFonts w:ascii="Arial Narrow" w:eastAsia="Times New Roman" w:hAnsi="Arial Narrow" w:cs="Calibri"/>
          <w:color w:val="000000"/>
          <w:lang w:eastAsia="es-CO"/>
        </w:rPr>
        <w:br/>
      </w:r>
      <w:r w:rsidR="00C96D0F" w:rsidRPr="00C96D0F">
        <w:t xml:space="preserve"> </w:t>
      </w:r>
      <w:r w:rsidR="00C96D0F">
        <w:t>Adjunto se anexa los correspondientes archivos de la Matriz Integrada de gestión y corrupción, y del seguimiento al Plan y mapas de riesgos del Instituto de Hidrología, Meteorología y Estudios Ambientales  IDEAM por cada una de las áreas y dependencias de la Entidad, Con corte al 30 de Abril de 2017.</w:t>
      </w:r>
    </w:p>
    <w:p w:rsidR="001E1AE5" w:rsidRDefault="001E1AE5" w:rsidP="00352EA1">
      <w:pPr>
        <w:jc w:val="both"/>
      </w:pPr>
    </w:p>
    <w:p w:rsidR="00F74B08" w:rsidRDefault="00254A21" w:rsidP="00352EA1">
      <w:pPr>
        <w:jc w:val="both"/>
        <w:rPr>
          <w:rFonts w:ascii="Arial Narrow" w:eastAsia="Times New Roman" w:hAnsi="Arial Narrow" w:cs="Calibri"/>
          <w:color w:val="000000"/>
          <w:lang w:eastAsia="es-CO"/>
        </w:rPr>
      </w:pPr>
      <w:r w:rsidRPr="00254A21">
        <w:rPr>
          <w:rFonts w:ascii="Arial Narrow" w:eastAsia="Times New Roman" w:hAnsi="Arial Narrow" w:cs="Calibri"/>
          <w:color w:val="000000"/>
          <w:lang w:eastAsia="es-CO"/>
        </w:rPr>
        <w:t xml:space="preserve"> </w:t>
      </w:r>
      <w:r w:rsidR="00F74B08" w:rsidRPr="00F74B08">
        <w:rPr>
          <w:rFonts w:ascii="Arial Narrow" w:eastAsia="Times New Roman" w:hAnsi="Arial Narrow" w:cs="Calibri"/>
          <w:color w:val="000000"/>
          <w:lang w:eastAsia="es-CO"/>
        </w:rPr>
        <w:t xml:space="preserve">                              </w:t>
      </w:r>
    </w:p>
    <w:p w:rsidR="00F74B08" w:rsidRDefault="00F74B08" w:rsidP="00352EA1">
      <w:pPr>
        <w:jc w:val="both"/>
        <w:rPr>
          <w:rFonts w:ascii="Arial Narrow" w:eastAsia="Times New Roman" w:hAnsi="Arial Narrow" w:cs="Calibri"/>
          <w:color w:val="000000"/>
          <w:lang w:eastAsia="es-CO"/>
        </w:rPr>
      </w:pPr>
    </w:p>
    <w:p w:rsidR="00F74B08" w:rsidRDefault="00F74B08" w:rsidP="00352EA1">
      <w:pPr>
        <w:jc w:val="both"/>
        <w:rPr>
          <w:rFonts w:ascii="Arial Narrow" w:eastAsia="Times New Roman" w:hAnsi="Arial Narrow" w:cs="Calibri"/>
          <w:color w:val="000000"/>
          <w:lang w:eastAsia="es-CO"/>
        </w:rPr>
      </w:pPr>
    </w:p>
    <w:p w:rsidR="00254A21" w:rsidRPr="00352EA1" w:rsidRDefault="00F74B08" w:rsidP="00352EA1">
      <w:pPr>
        <w:jc w:val="both"/>
        <w:rPr>
          <w:b/>
        </w:rPr>
      </w:pPr>
      <w:r>
        <w:rPr>
          <w:rFonts w:ascii="Arial Narrow" w:eastAsia="Times New Roman" w:hAnsi="Arial Narrow" w:cs="Calibri"/>
          <w:color w:val="000000"/>
          <w:lang w:eastAsia="es-CO"/>
        </w:rPr>
        <w:t xml:space="preserve">                                           </w:t>
      </w:r>
      <w:r w:rsidRPr="00F74B08">
        <w:rPr>
          <w:rFonts w:ascii="Arial Narrow" w:eastAsia="Times New Roman" w:hAnsi="Arial Narrow" w:cs="Calibri"/>
          <w:color w:val="000000"/>
          <w:lang w:eastAsia="es-CO"/>
        </w:rPr>
        <w:t xml:space="preserve">          </w:t>
      </w:r>
      <w:r w:rsidRPr="00352EA1">
        <w:rPr>
          <w:rFonts w:ascii="Arial Narrow" w:eastAsia="Times New Roman" w:hAnsi="Arial Narrow" w:cs="Calibri"/>
          <w:b/>
          <w:color w:val="000000"/>
          <w:lang w:eastAsia="es-CO"/>
        </w:rPr>
        <w:t>ANEXO ARCHIVOS</w:t>
      </w:r>
    </w:p>
    <w:p w:rsidR="00A838F8" w:rsidRDefault="00A838F8" w:rsidP="00352EA1">
      <w:pPr>
        <w:jc w:val="both"/>
      </w:pPr>
    </w:p>
    <w:p w:rsidR="00CF62A9" w:rsidRDefault="00CF62A9" w:rsidP="00352EA1">
      <w:pPr>
        <w:jc w:val="both"/>
      </w:pPr>
    </w:p>
    <w:sectPr w:rsidR="00CF62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03E15"/>
    <w:multiLevelType w:val="hybridMultilevel"/>
    <w:tmpl w:val="E0C2292A"/>
    <w:lvl w:ilvl="0" w:tplc="9CC4A894">
      <w:start w:val="2"/>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20CE45F7"/>
    <w:multiLevelType w:val="hybridMultilevel"/>
    <w:tmpl w:val="B5B68A04"/>
    <w:lvl w:ilvl="0" w:tplc="37BA60C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86D667A"/>
    <w:multiLevelType w:val="hybridMultilevel"/>
    <w:tmpl w:val="6204A344"/>
    <w:lvl w:ilvl="0" w:tplc="708E9526">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9A721CE"/>
    <w:multiLevelType w:val="hybridMultilevel"/>
    <w:tmpl w:val="511E57F2"/>
    <w:lvl w:ilvl="0" w:tplc="C8D672A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AAC3FB7"/>
    <w:multiLevelType w:val="hybridMultilevel"/>
    <w:tmpl w:val="63C0467C"/>
    <w:lvl w:ilvl="0" w:tplc="C998883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B73681"/>
    <w:multiLevelType w:val="hybridMultilevel"/>
    <w:tmpl w:val="644E8C48"/>
    <w:lvl w:ilvl="0" w:tplc="6E42651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44"/>
    <w:rsid w:val="00042C1C"/>
    <w:rsid w:val="000D567D"/>
    <w:rsid w:val="000E43E1"/>
    <w:rsid w:val="00110244"/>
    <w:rsid w:val="001430FE"/>
    <w:rsid w:val="00180559"/>
    <w:rsid w:val="001E1AE5"/>
    <w:rsid w:val="001E3ED8"/>
    <w:rsid w:val="00216D13"/>
    <w:rsid w:val="00241259"/>
    <w:rsid w:val="00254A21"/>
    <w:rsid w:val="002B2E97"/>
    <w:rsid w:val="002C217F"/>
    <w:rsid w:val="002F1ED4"/>
    <w:rsid w:val="00330CD2"/>
    <w:rsid w:val="003456AD"/>
    <w:rsid w:val="003504B0"/>
    <w:rsid w:val="00352EA1"/>
    <w:rsid w:val="0036582D"/>
    <w:rsid w:val="00373F31"/>
    <w:rsid w:val="003A4198"/>
    <w:rsid w:val="003B09F1"/>
    <w:rsid w:val="003C5706"/>
    <w:rsid w:val="003F02AA"/>
    <w:rsid w:val="00451670"/>
    <w:rsid w:val="004A4580"/>
    <w:rsid w:val="004A63BB"/>
    <w:rsid w:val="004B34F2"/>
    <w:rsid w:val="004E0F31"/>
    <w:rsid w:val="00505198"/>
    <w:rsid w:val="005341E6"/>
    <w:rsid w:val="0056564E"/>
    <w:rsid w:val="005F0144"/>
    <w:rsid w:val="005F2C41"/>
    <w:rsid w:val="00600F28"/>
    <w:rsid w:val="00605095"/>
    <w:rsid w:val="00612522"/>
    <w:rsid w:val="0062363C"/>
    <w:rsid w:val="006241EC"/>
    <w:rsid w:val="006772D9"/>
    <w:rsid w:val="00687B09"/>
    <w:rsid w:val="006A2227"/>
    <w:rsid w:val="006C41F4"/>
    <w:rsid w:val="0079387A"/>
    <w:rsid w:val="007D2E9B"/>
    <w:rsid w:val="007E3ACB"/>
    <w:rsid w:val="00850758"/>
    <w:rsid w:val="00853ED6"/>
    <w:rsid w:val="008A02BD"/>
    <w:rsid w:val="0095344E"/>
    <w:rsid w:val="00954FAC"/>
    <w:rsid w:val="009B1C08"/>
    <w:rsid w:val="009C2C86"/>
    <w:rsid w:val="009C4C0E"/>
    <w:rsid w:val="00A125FC"/>
    <w:rsid w:val="00A838F8"/>
    <w:rsid w:val="00B10A91"/>
    <w:rsid w:val="00B315CB"/>
    <w:rsid w:val="00B81DE8"/>
    <w:rsid w:val="00BA58DF"/>
    <w:rsid w:val="00BB1AB3"/>
    <w:rsid w:val="00C27283"/>
    <w:rsid w:val="00C41ABE"/>
    <w:rsid w:val="00C62749"/>
    <w:rsid w:val="00C96D0F"/>
    <w:rsid w:val="00CD3236"/>
    <w:rsid w:val="00CF3A65"/>
    <w:rsid w:val="00CF62A9"/>
    <w:rsid w:val="00D01F6B"/>
    <w:rsid w:val="00D142BD"/>
    <w:rsid w:val="00D14654"/>
    <w:rsid w:val="00D30F60"/>
    <w:rsid w:val="00D67516"/>
    <w:rsid w:val="00DD6942"/>
    <w:rsid w:val="00E101C9"/>
    <w:rsid w:val="00E3484A"/>
    <w:rsid w:val="00E447A2"/>
    <w:rsid w:val="00E70163"/>
    <w:rsid w:val="00EB1951"/>
    <w:rsid w:val="00EC149F"/>
    <w:rsid w:val="00ED241C"/>
    <w:rsid w:val="00F60A90"/>
    <w:rsid w:val="00F74B08"/>
    <w:rsid w:val="00F83FD2"/>
    <w:rsid w:val="00FC13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0163"/>
    <w:pPr>
      <w:ind w:left="720"/>
      <w:contextualSpacing/>
    </w:pPr>
  </w:style>
  <w:style w:type="character" w:styleId="Hipervnculo">
    <w:name w:val="Hyperlink"/>
    <w:basedOn w:val="Fuentedeprrafopredeter"/>
    <w:uiPriority w:val="99"/>
    <w:unhideWhenUsed/>
    <w:rsid w:val="00C627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0163"/>
    <w:pPr>
      <w:ind w:left="720"/>
      <w:contextualSpacing/>
    </w:pPr>
  </w:style>
  <w:style w:type="character" w:styleId="Hipervnculo">
    <w:name w:val="Hyperlink"/>
    <w:basedOn w:val="Fuentedeprrafopredeter"/>
    <w:uiPriority w:val="99"/>
    <w:unhideWhenUsed/>
    <w:rsid w:val="00C62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08">
      <w:bodyDiv w:val="1"/>
      <w:marLeft w:val="0"/>
      <w:marRight w:val="0"/>
      <w:marTop w:val="0"/>
      <w:marBottom w:val="0"/>
      <w:divBdr>
        <w:top w:val="none" w:sz="0" w:space="0" w:color="auto"/>
        <w:left w:val="none" w:sz="0" w:space="0" w:color="auto"/>
        <w:bottom w:val="none" w:sz="0" w:space="0" w:color="auto"/>
        <w:right w:val="none" w:sz="0" w:space="0" w:color="auto"/>
      </w:divBdr>
    </w:div>
    <w:div w:id="28380781">
      <w:bodyDiv w:val="1"/>
      <w:marLeft w:val="0"/>
      <w:marRight w:val="0"/>
      <w:marTop w:val="0"/>
      <w:marBottom w:val="0"/>
      <w:divBdr>
        <w:top w:val="none" w:sz="0" w:space="0" w:color="auto"/>
        <w:left w:val="none" w:sz="0" w:space="0" w:color="auto"/>
        <w:bottom w:val="none" w:sz="0" w:space="0" w:color="auto"/>
        <w:right w:val="none" w:sz="0" w:space="0" w:color="auto"/>
      </w:divBdr>
    </w:div>
    <w:div w:id="60374235">
      <w:bodyDiv w:val="1"/>
      <w:marLeft w:val="0"/>
      <w:marRight w:val="0"/>
      <w:marTop w:val="0"/>
      <w:marBottom w:val="0"/>
      <w:divBdr>
        <w:top w:val="none" w:sz="0" w:space="0" w:color="auto"/>
        <w:left w:val="none" w:sz="0" w:space="0" w:color="auto"/>
        <w:bottom w:val="none" w:sz="0" w:space="0" w:color="auto"/>
        <w:right w:val="none" w:sz="0" w:space="0" w:color="auto"/>
      </w:divBdr>
    </w:div>
    <w:div w:id="120002258">
      <w:bodyDiv w:val="1"/>
      <w:marLeft w:val="0"/>
      <w:marRight w:val="0"/>
      <w:marTop w:val="0"/>
      <w:marBottom w:val="0"/>
      <w:divBdr>
        <w:top w:val="none" w:sz="0" w:space="0" w:color="auto"/>
        <w:left w:val="none" w:sz="0" w:space="0" w:color="auto"/>
        <w:bottom w:val="none" w:sz="0" w:space="0" w:color="auto"/>
        <w:right w:val="none" w:sz="0" w:space="0" w:color="auto"/>
      </w:divBdr>
    </w:div>
    <w:div w:id="177283081">
      <w:bodyDiv w:val="1"/>
      <w:marLeft w:val="0"/>
      <w:marRight w:val="0"/>
      <w:marTop w:val="0"/>
      <w:marBottom w:val="0"/>
      <w:divBdr>
        <w:top w:val="none" w:sz="0" w:space="0" w:color="auto"/>
        <w:left w:val="none" w:sz="0" w:space="0" w:color="auto"/>
        <w:bottom w:val="none" w:sz="0" w:space="0" w:color="auto"/>
        <w:right w:val="none" w:sz="0" w:space="0" w:color="auto"/>
      </w:divBdr>
    </w:div>
    <w:div w:id="185140504">
      <w:bodyDiv w:val="1"/>
      <w:marLeft w:val="0"/>
      <w:marRight w:val="0"/>
      <w:marTop w:val="0"/>
      <w:marBottom w:val="0"/>
      <w:divBdr>
        <w:top w:val="none" w:sz="0" w:space="0" w:color="auto"/>
        <w:left w:val="none" w:sz="0" w:space="0" w:color="auto"/>
        <w:bottom w:val="none" w:sz="0" w:space="0" w:color="auto"/>
        <w:right w:val="none" w:sz="0" w:space="0" w:color="auto"/>
      </w:divBdr>
    </w:div>
    <w:div w:id="190530030">
      <w:bodyDiv w:val="1"/>
      <w:marLeft w:val="0"/>
      <w:marRight w:val="0"/>
      <w:marTop w:val="0"/>
      <w:marBottom w:val="0"/>
      <w:divBdr>
        <w:top w:val="none" w:sz="0" w:space="0" w:color="auto"/>
        <w:left w:val="none" w:sz="0" w:space="0" w:color="auto"/>
        <w:bottom w:val="none" w:sz="0" w:space="0" w:color="auto"/>
        <w:right w:val="none" w:sz="0" w:space="0" w:color="auto"/>
      </w:divBdr>
    </w:div>
    <w:div w:id="270088171">
      <w:bodyDiv w:val="1"/>
      <w:marLeft w:val="0"/>
      <w:marRight w:val="0"/>
      <w:marTop w:val="0"/>
      <w:marBottom w:val="0"/>
      <w:divBdr>
        <w:top w:val="none" w:sz="0" w:space="0" w:color="auto"/>
        <w:left w:val="none" w:sz="0" w:space="0" w:color="auto"/>
        <w:bottom w:val="none" w:sz="0" w:space="0" w:color="auto"/>
        <w:right w:val="none" w:sz="0" w:space="0" w:color="auto"/>
      </w:divBdr>
    </w:div>
    <w:div w:id="310444060">
      <w:bodyDiv w:val="1"/>
      <w:marLeft w:val="0"/>
      <w:marRight w:val="0"/>
      <w:marTop w:val="0"/>
      <w:marBottom w:val="0"/>
      <w:divBdr>
        <w:top w:val="none" w:sz="0" w:space="0" w:color="auto"/>
        <w:left w:val="none" w:sz="0" w:space="0" w:color="auto"/>
        <w:bottom w:val="none" w:sz="0" w:space="0" w:color="auto"/>
        <w:right w:val="none" w:sz="0" w:space="0" w:color="auto"/>
      </w:divBdr>
    </w:div>
    <w:div w:id="312947728">
      <w:bodyDiv w:val="1"/>
      <w:marLeft w:val="0"/>
      <w:marRight w:val="0"/>
      <w:marTop w:val="0"/>
      <w:marBottom w:val="0"/>
      <w:divBdr>
        <w:top w:val="none" w:sz="0" w:space="0" w:color="auto"/>
        <w:left w:val="none" w:sz="0" w:space="0" w:color="auto"/>
        <w:bottom w:val="none" w:sz="0" w:space="0" w:color="auto"/>
        <w:right w:val="none" w:sz="0" w:space="0" w:color="auto"/>
      </w:divBdr>
    </w:div>
    <w:div w:id="346954446">
      <w:bodyDiv w:val="1"/>
      <w:marLeft w:val="0"/>
      <w:marRight w:val="0"/>
      <w:marTop w:val="0"/>
      <w:marBottom w:val="0"/>
      <w:divBdr>
        <w:top w:val="none" w:sz="0" w:space="0" w:color="auto"/>
        <w:left w:val="none" w:sz="0" w:space="0" w:color="auto"/>
        <w:bottom w:val="none" w:sz="0" w:space="0" w:color="auto"/>
        <w:right w:val="none" w:sz="0" w:space="0" w:color="auto"/>
      </w:divBdr>
    </w:div>
    <w:div w:id="365910136">
      <w:bodyDiv w:val="1"/>
      <w:marLeft w:val="0"/>
      <w:marRight w:val="0"/>
      <w:marTop w:val="0"/>
      <w:marBottom w:val="0"/>
      <w:divBdr>
        <w:top w:val="none" w:sz="0" w:space="0" w:color="auto"/>
        <w:left w:val="none" w:sz="0" w:space="0" w:color="auto"/>
        <w:bottom w:val="none" w:sz="0" w:space="0" w:color="auto"/>
        <w:right w:val="none" w:sz="0" w:space="0" w:color="auto"/>
      </w:divBdr>
    </w:div>
    <w:div w:id="443354545">
      <w:bodyDiv w:val="1"/>
      <w:marLeft w:val="0"/>
      <w:marRight w:val="0"/>
      <w:marTop w:val="0"/>
      <w:marBottom w:val="0"/>
      <w:divBdr>
        <w:top w:val="none" w:sz="0" w:space="0" w:color="auto"/>
        <w:left w:val="none" w:sz="0" w:space="0" w:color="auto"/>
        <w:bottom w:val="none" w:sz="0" w:space="0" w:color="auto"/>
        <w:right w:val="none" w:sz="0" w:space="0" w:color="auto"/>
      </w:divBdr>
    </w:div>
    <w:div w:id="458189207">
      <w:bodyDiv w:val="1"/>
      <w:marLeft w:val="0"/>
      <w:marRight w:val="0"/>
      <w:marTop w:val="0"/>
      <w:marBottom w:val="0"/>
      <w:divBdr>
        <w:top w:val="none" w:sz="0" w:space="0" w:color="auto"/>
        <w:left w:val="none" w:sz="0" w:space="0" w:color="auto"/>
        <w:bottom w:val="none" w:sz="0" w:space="0" w:color="auto"/>
        <w:right w:val="none" w:sz="0" w:space="0" w:color="auto"/>
      </w:divBdr>
    </w:div>
    <w:div w:id="465776758">
      <w:bodyDiv w:val="1"/>
      <w:marLeft w:val="0"/>
      <w:marRight w:val="0"/>
      <w:marTop w:val="0"/>
      <w:marBottom w:val="0"/>
      <w:divBdr>
        <w:top w:val="none" w:sz="0" w:space="0" w:color="auto"/>
        <w:left w:val="none" w:sz="0" w:space="0" w:color="auto"/>
        <w:bottom w:val="none" w:sz="0" w:space="0" w:color="auto"/>
        <w:right w:val="none" w:sz="0" w:space="0" w:color="auto"/>
      </w:divBdr>
    </w:div>
    <w:div w:id="509610499">
      <w:bodyDiv w:val="1"/>
      <w:marLeft w:val="0"/>
      <w:marRight w:val="0"/>
      <w:marTop w:val="0"/>
      <w:marBottom w:val="0"/>
      <w:divBdr>
        <w:top w:val="none" w:sz="0" w:space="0" w:color="auto"/>
        <w:left w:val="none" w:sz="0" w:space="0" w:color="auto"/>
        <w:bottom w:val="none" w:sz="0" w:space="0" w:color="auto"/>
        <w:right w:val="none" w:sz="0" w:space="0" w:color="auto"/>
      </w:divBdr>
    </w:div>
    <w:div w:id="576207011">
      <w:bodyDiv w:val="1"/>
      <w:marLeft w:val="0"/>
      <w:marRight w:val="0"/>
      <w:marTop w:val="0"/>
      <w:marBottom w:val="0"/>
      <w:divBdr>
        <w:top w:val="none" w:sz="0" w:space="0" w:color="auto"/>
        <w:left w:val="none" w:sz="0" w:space="0" w:color="auto"/>
        <w:bottom w:val="none" w:sz="0" w:space="0" w:color="auto"/>
        <w:right w:val="none" w:sz="0" w:space="0" w:color="auto"/>
      </w:divBdr>
    </w:div>
    <w:div w:id="594097458">
      <w:bodyDiv w:val="1"/>
      <w:marLeft w:val="0"/>
      <w:marRight w:val="0"/>
      <w:marTop w:val="0"/>
      <w:marBottom w:val="0"/>
      <w:divBdr>
        <w:top w:val="none" w:sz="0" w:space="0" w:color="auto"/>
        <w:left w:val="none" w:sz="0" w:space="0" w:color="auto"/>
        <w:bottom w:val="none" w:sz="0" w:space="0" w:color="auto"/>
        <w:right w:val="none" w:sz="0" w:space="0" w:color="auto"/>
      </w:divBdr>
    </w:div>
    <w:div w:id="655842399">
      <w:bodyDiv w:val="1"/>
      <w:marLeft w:val="0"/>
      <w:marRight w:val="0"/>
      <w:marTop w:val="0"/>
      <w:marBottom w:val="0"/>
      <w:divBdr>
        <w:top w:val="none" w:sz="0" w:space="0" w:color="auto"/>
        <w:left w:val="none" w:sz="0" w:space="0" w:color="auto"/>
        <w:bottom w:val="none" w:sz="0" w:space="0" w:color="auto"/>
        <w:right w:val="none" w:sz="0" w:space="0" w:color="auto"/>
      </w:divBdr>
    </w:div>
    <w:div w:id="747271938">
      <w:bodyDiv w:val="1"/>
      <w:marLeft w:val="0"/>
      <w:marRight w:val="0"/>
      <w:marTop w:val="0"/>
      <w:marBottom w:val="0"/>
      <w:divBdr>
        <w:top w:val="none" w:sz="0" w:space="0" w:color="auto"/>
        <w:left w:val="none" w:sz="0" w:space="0" w:color="auto"/>
        <w:bottom w:val="none" w:sz="0" w:space="0" w:color="auto"/>
        <w:right w:val="none" w:sz="0" w:space="0" w:color="auto"/>
      </w:divBdr>
    </w:div>
    <w:div w:id="847914136">
      <w:bodyDiv w:val="1"/>
      <w:marLeft w:val="0"/>
      <w:marRight w:val="0"/>
      <w:marTop w:val="0"/>
      <w:marBottom w:val="0"/>
      <w:divBdr>
        <w:top w:val="none" w:sz="0" w:space="0" w:color="auto"/>
        <w:left w:val="none" w:sz="0" w:space="0" w:color="auto"/>
        <w:bottom w:val="none" w:sz="0" w:space="0" w:color="auto"/>
        <w:right w:val="none" w:sz="0" w:space="0" w:color="auto"/>
      </w:divBdr>
    </w:div>
    <w:div w:id="876359556">
      <w:bodyDiv w:val="1"/>
      <w:marLeft w:val="0"/>
      <w:marRight w:val="0"/>
      <w:marTop w:val="0"/>
      <w:marBottom w:val="0"/>
      <w:divBdr>
        <w:top w:val="none" w:sz="0" w:space="0" w:color="auto"/>
        <w:left w:val="none" w:sz="0" w:space="0" w:color="auto"/>
        <w:bottom w:val="none" w:sz="0" w:space="0" w:color="auto"/>
        <w:right w:val="none" w:sz="0" w:space="0" w:color="auto"/>
      </w:divBdr>
    </w:div>
    <w:div w:id="887380297">
      <w:bodyDiv w:val="1"/>
      <w:marLeft w:val="0"/>
      <w:marRight w:val="0"/>
      <w:marTop w:val="0"/>
      <w:marBottom w:val="0"/>
      <w:divBdr>
        <w:top w:val="none" w:sz="0" w:space="0" w:color="auto"/>
        <w:left w:val="none" w:sz="0" w:space="0" w:color="auto"/>
        <w:bottom w:val="none" w:sz="0" w:space="0" w:color="auto"/>
        <w:right w:val="none" w:sz="0" w:space="0" w:color="auto"/>
      </w:divBdr>
    </w:div>
    <w:div w:id="1030107030">
      <w:bodyDiv w:val="1"/>
      <w:marLeft w:val="0"/>
      <w:marRight w:val="0"/>
      <w:marTop w:val="0"/>
      <w:marBottom w:val="0"/>
      <w:divBdr>
        <w:top w:val="none" w:sz="0" w:space="0" w:color="auto"/>
        <w:left w:val="none" w:sz="0" w:space="0" w:color="auto"/>
        <w:bottom w:val="none" w:sz="0" w:space="0" w:color="auto"/>
        <w:right w:val="none" w:sz="0" w:space="0" w:color="auto"/>
      </w:divBdr>
    </w:div>
    <w:div w:id="1032340373">
      <w:bodyDiv w:val="1"/>
      <w:marLeft w:val="0"/>
      <w:marRight w:val="0"/>
      <w:marTop w:val="0"/>
      <w:marBottom w:val="0"/>
      <w:divBdr>
        <w:top w:val="none" w:sz="0" w:space="0" w:color="auto"/>
        <w:left w:val="none" w:sz="0" w:space="0" w:color="auto"/>
        <w:bottom w:val="none" w:sz="0" w:space="0" w:color="auto"/>
        <w:right w:val="none" w:sz="0" w:space="0" w:color="auto"/>
      </w:divBdr>
    </w:div>
    <w:div w:id="1039401359">
      <w:bodyDiv w:val="1"/>
      <w:marLeft w:val="0"/>
      <w:marRight w:val="0"/>
      <w:marTop w:val="0"/>
      <w:marBottom w:val="0"/>
      <w:divBdr>
        <w:top w:val="none" w:sz="0" w:space="0" w:color="auto"/>
        <w:left w:val="none" w:sz="0" w:space="0" w:color="auto"/>
        <w:bottom w:val="none" w:sz="0" w:space="0" w:color="auto"/>
        <w:right w:val="none" w:sz="0" w:space="0" w:color="auto"/>
      </w:divBdr>
    </w:div>
    <w:div w:id="1074011842">
      <w:bodyDiv w:val="1"/>
      <w:marLeft w:val="0"/>
      <w:marRight w:val="0"/>
      <w:marTop w:val="0"/>
      <w:marBottom w:val="0"/>
      <w:divBdr>
        <w:top w:val="none" w:sz="0" w:space="0" w:color="auto"/>
        <w:left w:val="none" w:sz="0" w:space="0" w:color="auto"/>
        <w:bottom w:val="none" w:sz="0" w:space="0" w:color="auto"/>
        <w:right w:val="none" w:sz="0" w:space="0" w:color="auto"/>
      </w:divBdr>
    </w:div>
    <w:div w:id="1108891016">
      <w:bodyDiv w:val="1"/>
      <w:marLeft w:val="0"/>
      <w:marRight w:val="0"/>
      <w:marTop w:val="0"/>
      <w:marBottom w:val="0"/>
      <w:divBdr>
        <w:top w:val="none" w:sz="0" w:space="0" w:color="auto"/>
        <w:left w:val="none" w:sz="0" w:space="0" w:color="auto"/>
        <w:bottom w:val="none" w:sz="0" w:space="0" w:color="auto"/>
        <w:right w:val="none" w:sz="0" w:space="0" w:color="auto"/>
      </w:divBdr>
    </w:div>
    <w:div w:id="1191262679">
      <w:bodyDiv w:val="1"/>
      <w:marLeft w:val="0"/>
      <w:marRight w:val="0"/>
      <w:marTop w:val="0"/>
      <w:marBottom w:val="0"/>
      <w:divBdr>
        <w:top w:val="none" w:sz="0" w:space="0" w:color="auto"/>
        <w:left w:val="none" w:sz="0" w:space="0" w:color="auto"/>
        <w:bottom w:val="none" w:sz="0" w:space="0" w:color="auto"/>
        <w:right w:val="none" w:sz="0" w:space="0" w:color="auto"/>
      </w:divBdr>
    </w:div>
    <w:div w:id="1283801154">
      <w:bodyDiv w:val="1"/>
      <w:marLeft w:val="0"/>
      <w:marRight w:val="0"/>
      <w:marTop w:val="0"/>
      <w:marBottom w:val="0"/>
      <w:divBdr>
        <w:top w:val="none" w:sz="0" w:space="0" w:color="auto"/>
        <w:left w:val="none" w:sz="0" w:space="0" w:color="auto"/>
        <w:bottom w:val="none" w:sz="0" w:space="0" w:color="auto"/>
        <w:right w:val="none" w:sz="0" w:space="0" w:color="auto"/>
      </w:divBdr>
    </w:div>
    <w:div w:id="1292663608">
      <w:bodyDiv w:val="1"/>
      <w:marLeft w:val="0"/>
      <w:marRight w:val="0"/>
      <w:marTop w:val="0"/>
      <w:marBottom w:val="0"/>
      <w:divBdr>
        <w:top w:val="none" w:sz="0" w:space="0" w:color="auto"/>
        <w:left w:val="none" w:sz="0" w:space="0" w:color="auto"/>
        <w:bottom w:val="none" w:sz="0" w:space="0" w:color="auto"/>
        <w:right w:val="none" w:sz="0" w:space="0" w:color="auto"/>
      </w:divBdr>
    </w:div>
    <w:div w:id="1298300006">
      <w:bodyDiv w:val="1"/>
      <w:marLeft w:val="0"/>
      <w:marRight w:val="0"/>
      <w:marTop w:val="0"/>
      <w:marBottom w:val="0"/>
      <w:divBdr>
        <w:top w:val="none" w:sz="0" w:space="0" w:color="auto"/>
        <w:left w:val="none" w:sz="0" w:space="0" w:color="auto"/>
        <w:bottom w:val="none" w:sz="0" w:space="0" w:color="auto"/>
        <w:right w:val="none" w:sz="0" w:space="0" w:color="auto"/>
      </w:divBdr>
    </w:div>
    <w:div w:id="1310786277">
      <w:bodyDiv w:val="1"/>
      <w:marLeft w:val="0"/>
      <w:marRight w:val="0"/>
      <w:marTop w:val="0"/>
      <w:marBottom w:val="0"/>
      <w:divBdr>
        <w:top w:val="none" w:sz="0" w:space="0" w:color="auto"/>
        <w:left w:val="none" w:sz="0" w:space="0" w:color="auto"/>
        <w:bottom w:val="none" w:sz="0" w:space="0" w:color="auto"/>
        <w:right w:val="none" w:sz="0" w:space="0" w:color="auto"/>
      </w:divBdr>
    </w:div>
    <w:div w:id="1358580624">
      <w:bodyDiv w:val="1"/>
      <w:marLeft w:val="0"/>
      <w:marRight w:val="0"/>
      <w:marTop w:val="0"/>
      <w:marBottom w:val="0"/>
      <w:divBdr>
        <w:top w:val="none" w:sz="0" w:space="0" w:color="auto"/>
        <w:left w:val="none" w:sz="0" w:space="0" w:color="auto"/>
        <w:bottom w:val="none" w:sz="0" w:space="0" w:color="auto"/>
        <w:right w:val="none" w:sz="0" w:space="0" w:color="auto"/>
      </w:divBdr>
    </w:div>
    <w:div w:id="1474718795">
      <w:bodyDiv w:val="1"/>
      <w:marLeft w:val="0"/>
      <w:marRight w:val="0"/>
      <w:marTop w:val="0"/>
      <w:marBottom w:val="0"/>
      <w:divBdr>
        <w:top w:val="none" w:sz="0" w:space="0" w:color="auto"/>
        <w:left w:val="none" w:sz="0" w:space="0" w:color="auto"/>
        <w:bottom w:val="none" w:sz="0" w:space="0" w:color="auto"/>
        <w:right w:val="none" w:sz="0" w:space="0" w:color="auto"/>
      </w:divBdr>
    </w:div>
    <w:div w:id="1504779577">
      <w:bodyDiv w:val="1"/>
      <w:marLeft w:val="0"/>
      <w:marRight w:val="0"/>
      <w:marTop w:val="0"/>
      <w:marBottom w:val="0"/>
      <w:divBdr>
        <w:top w:val="none" w:sz="0" w:space="0" w:color="auto"/>
        <w:left w:val="none" w:sz="0" w:space="0" w:color="auto"/>
        <w:bottom w:val="none" w:sz="0" w:space="0" w:color="auto"/>
        <w:right w:val="none" w:sz="0" w:space="0" w:color="auto"/>
      </w:divBdr>
    </w:div>
    <w:div w:id="1575629251">
      <w:bodyDiv w:val="1"/>
      <w:marLeft w:val="0"/>
      <w:marRight w:val="0"/>
      <w:marTop w:val="0"/>
      <w:marBottom w:val="0"/>
      <w:divBdr>
        <w:top w:val="none" w:sz="0" w:space="0" w:color="auto"/>
        <w:left w:val="none" w:sz="0" w:space="0" w:color="auto"/>
        <w:bottom w:val="none" w:sz="0" w:space="0" w:color="auto"/>
        <w:right w:val="none" w:sz="0" w:space="0" w:color="auto"/>
      </w:divBdr>
    </w:div>
    <w:div w:id="1748259788">
      <w:bodyDiv w:val="1"/>
      <w:marLeft w:val="0"/>
      <w:marRight w:val="0"/>
      <w:marTop w:val="0"/>
      <w:marBottom w:val="0"/>
      <w:divBdr>
        <w:top w:val="none" w:sz="0" w:space="0" w:color="auto"/>
        <w:left w:val="none" w:sz="0" w:space="0" w:color="auto"/>
        <w:bottom w:val="none" w:sz="0" w:space="0" w:color="auto"/>
        <w:right w:val="none" w:sz="0" w:space="0" w:color="auto"/>
      </w:divBdr>
    </w:div>
    <w:div w:id="1889143476">
      <w:bodyDiv w:val="1"/>
      <w:marLeft w:val="0"/>
      <w:marRight w:val="0"/>
      <w:marTop w:val="0"/>
      <w:marBottom w:val="0"/>
      <w:divBdr>
        <w:top w:val="none" w:sz="0" w:space="0" w:color="auto"/>
        <w:left w:val="none" w:sz="0" w:space="0" w:color="auto"/>
        <w:bottom w:val="none" w:sz="0" w:space="0" w:color="auto"/>
        <w:right w:val="none" w:sz="0" w:space="0" w:color="auto"/>
      </w:divBdr>
    </w:div>
    <w:div w:id="1949118704">
      <w:bodyDiv w:val="1"/>
      <w:marLeft w:val="0"/>
      <w:marRight w:val="0"/>
      <w:marTop w:val="0"/>
      <w:marBottom w:val="0"/>
      <w:divBdr>
        <w:top w:val="none" w:sz="0" w:space="0" w:color="auto"/>
        <w:left w:val="none" w:sz="0" w:space="0" w:color="auto"/>
        <w:bottom w:val="none" w:sz="0" w:space="0" w:color="auto"/>
        <w:right w:val="none" w:sz="0" w:space="0" w:color="auto"/>
      </w:divBdr>
    </w:div>
    <w:div w:id="1953894930">
      <w:bodyDiv w:val="1"/>
      <w:marLeft w:val="0"/>
      <w:marRight w:val="0"/>
      <w:marTop w:val="0"/>
      <w:marBottom w:val="0"/>
      <w:divBdr>
        <w:top w:val="none" w:sz="0" w:space="0" w:color="auto"/>
        <w:left w:val="none" w:sz="0" w:space="0" w:color="auto"/>
        <w:bottom w:val="none" w:sz="0" w:space="0" w:color="auto"/>
        <w:right w:val="none" w:sz="0" w:space="0" w:color="auto"/>
      </w:divBdr>
    </w:div>
    <w:div w:id="2042976066">
      <w:bodyDiv w:val="1"/>
      <w:marLeft w:val="0"/>
      <w:marRight w:val="0"/>
      <w:marTop w:val="0"/>
      <w:marBottom w:val="0"/>
      <w:divBdr>
        <w:top w:val="none" w:sz="0" w:space="0" w:color="auto"/>
        <w:left w:val="none" w:sz="0" w:space="0" w:color="auto"/>
        <w:bottom w:val="none" w:sz="0" w:space="0" w:color="auto"/>
        <w:right w:val="none" w:sz="0" w:space="0" w:color="auto"/>
      </w:divBdr>
    </w:div>
    <w:div w:id="2082410825">
      <w:bodyDiv w:val="1"/>
      <w:marLeft w:val="0"/>
      <w:marRight w:val="0"/>
      <w:marTop w:val="0"/>
      <w:marBottom w:val="0"/>
      <w:divBdr>
        <w:top w:val="none" w:sz="0" w:space="0" w:color="auto"/>
        <w:left w:val="none" w:sz="0" w:space="0" w:color="auto"/>
        <w:bottom w:val="none" w:sz="0" w:space="0" w:color="auto"/>
        <w:right w:val="none" w:sz="0" w:space="0" w:color="auto"/>
      </w:divBdr>
    </w:div>
    <w:div w:id="2137261145">
      <w:bodyDiv w:val="1"/>
      <w:marLeft w:val="0"/>
      <w:marRight w:val="0"/>
      <w:marTop w:val="0"/>
      <w:marBottom w:val="0"/>
      <w:divBdr>
        <w:top w:val="none" w:sz="0" w:space="0" w:color="auto"/>
        <w:left w:val="none" w:sz="0" w:space="0" w:color="auto"/>
        <w:bottom w:val="none" w:sz="0" w:space="0" w:color="auto"/>
        <w:right w:val="none" w:sz="0" w:space="0" w:color="auto"/>
      </w:divBdr>
    </w:div>
    <w:div w:id="2137483334">
      <w:bodyDiv w:val="1"/>
      <w:marLeft w:val="0"/>
      <w:marRight w:val="0"/>
      <w:marTop w:val="0"/>
      <w:marBottom w:val="0"/>
      <w:divBdr>
        <w:top w:val="none" w:sz="0" w:space="0" w:color="auto"/>
        <w:left w:val="none" w:sz="0" w:space="0" w:color="auto"/>
        <w:bottom w:val="none" w:sz="0" w:space="0" w:color="auto"/>
        <w:right w:val="none" w:sz="0" w:space="0" w:color="auto"/>
      </w:divBdr>
    </w:div>
    <w:div w:id="214488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hljCrg" TargetMode="External"/><Relationship Id="rId3" Type="http://schemas.microsoft.com/office/2007/relationships/stylesWithEffects" Target="stylesWithEffects.xml"/><Relationship Id="rId7" Type="http://schemas.openxmlformats.org/officeDocument/2006/relationships/hyperlink" Target="https://goo.gl/jv3H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wRGhk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1502</TotalTime>
  <Pages>9</Pages>
  <Words>2783</Words>
  <Characters>15310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Nemesio Angarita Niño</dc:creator>
  <cp:lastModifiedBy>Hector Nemesio Angarita Niño</cp:lastModifiedBy>
  <cp:revision>50</cp:revision>
  <dcterms:created xsi:type="dcterms:W3CDTF">2017-04-20T21:17:00Z</dcterms:created>
  <dcterms:modified xsi:type="dcterms:W3CDTF">2017-05-03T12:49:00Z</dcterms:modified>
</cp:coreProperties>
</file>